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97A9" w14:textId="77777777" w:rsidR="00423356" w:rsidRPr="00423356" w:rsidRDefault="00423356" w:rsidP="00423356">
      <w:pPr>
        <w:pStyle w:val="Corpsdetexte"/>
        <w:jc w:val="center"/>
        <w:rPr>
          <w:rFonts w:ascii="Garamond" w:eastAsia="Garamond" w:hAnsi="Garamond" w:cs="Garamond"/>
          <w:b/>
          <w:bCs/>
          <w:sz w:val="24"/>
        </w:rPr>
      </w:pPr>
      <w:r w:rsidRPr="00423356">
        <w:rPr>
          <w:rFonts w:ascii="Garamond" w:hAnsi="Garamond"/>
          <w:b/>
          <w:bCs/>
          <w:sz w:val="24"/>
        </w:rPr>
        <w:t xml:space="preserve">RENCONTRES DE L’ÉCOLE DOCTORALE D’HISTOIRE </w:t>
      </w:r>
    </w:p>
    <w:p w14:paraId="27147B4A" w14:textId="770C24EE" w:rsidR="00423356" w:rsidRPr="00423356" w:rsidRDefault="00423356" w:rsidP="00423356">
      <w:pPr>
        <w:pStyle w:val="Texteducorps0"/>
        <w:spacing w:after="380" w:line="240" w:lineRule="auto"/>
        <w:ind w:firstLine="0"/>
        <w:jc w:val="center"/>
        <w:rPr>
          <w:rStyle w:val="Texteducorps"/>
          <w:rFonts w:ascii="Garamond" w:hAnsi="Garamond"/>
          <w:b/>
          <w:bCs/>
          <w:sz w:val="28"/>
          <w:szCs w:val="28"/>
        </w:rPr>
      </w:pPr>
      <w:r w:rsidRPr="00423356">
        <w:rPr>
          <w:rFonts w:ascii="Garamond" w:hAnsi="Garamond"/>
          <w:b/>
          <w:bCs/>
        </w:rPr>
        <w:t>DE L’UNIVERSITÉ PARIS 1 PANTHÉON-SORBONNE</w:t>
      </w:r>
    </w:p>
    <w:p w14:paraId="0DE38CFE" w14:textId="77777777" w:rsidR="00423356" w:rsidRPr="00423356" w:rsidRDefault="00423356">
      <w:pPr>
        <w:pStyle w:val="Texteducorps0"/>
        <w:spacing w:after="380" w:line="240" w:lineRule="auto"/>
        <w:ind w:firstLine="0"/>
        <w:jc w:val="center"/>
        <w:rPr>
          <w:rStyle w:val="Texteducorps"/>
          <w:rFonts w:ascii="Garamond" w:hAnsi="Garamond"/>
          <w:b/>
          <w:bCs/>
          <w:sz w:val="28"/>
          <w:szCs w:val="28"/>
        </w:rPr>
      </w:pPr>
    </w:p>
    <w:p w14:paraId="393A4616" w14:textId="12F03304" w:rsidR="00423356" w:rsidRDefault="00423356" w:rsidP="00423356">
      <w:pPr>
        <w:pStyle w:val="Texteducorps0"/>
        <w:spacing w:after="380" w:line="240" w:lineRule="auto"/>
        <w:ind w:firstLine="0"/>
        <w:jc w:val="center"/>
        <w:rPr>
          <w:rFonts w:ascii="Garamond" w:hAnsi="Garamond"/>
          <w:b/>
          <w:bCs/>
          <w:sz w:val="32"/>
          <w:szCs w:val="32"/>
        </w:rPr>
      </w:pPr>
      <w:r w:rsidRPr="00423356">
        <w:rPr>
          <w:rFonts w:ascii="Garamond" w:hAnsi="Garamond"/>
          <w:b/>
          <w:bCs/>
          <w:sz w:val="32"/>
          <w:szCs w:val="32"/>
        </w:rPr>
        <w:t>Hériter et transmettre</w:t>
      </w:r>
    </w:p>
    <w:p w14:paraId="124541EB" w14:textId="77777777" w:rsidR="00423356" w:rsidRDefault="00423356" w:rsidP="00423356">
      <w:pPr>
        <w:pStyle w:val="Texteducorps0"/>
        <w:spacing w:after="0"/>
        <w:ind w:firstLine="0"/>
        <w:jc w:val="center"/>
        <w:rPr>
          <w:rStyle w:val="Texteducorps"/>
          <w:rFonts w:ascii="Garamond" w:hAnsi="Garamond"/>
          <w:b/>
          <w:bCs/>
        </w:rPr>
      </w:pPr>
      <w:r w:rsidRPr="00423356">
        <w:rPr>
          <w:rStyle w:val="Texteducorps"/>
          <w:rFonts w:ascii="Garamond" w:hAnsi="Garamond"/>
          <w:b/>
          <w:bCs/>
        </w:rPr>
        <w:t>Le 3 février 2024</w:t>
      </w:r>
    </w:p>
    <w:p w14:paraId="2845E1D0" w14:textId="77777777" w:rsidR="00423356" w:rsidRPr="00423356" w:rsidRDefault="00423356" w:rsidP="00423356">
      <w:pPr>
        <w:pStyle w:val="Texteducorps0"/>
        <w:spacing w:after="0"/>
        <w:ind w:firstLine="0"/>
        <w:jc w:val="center"/>
        <w:rPr>
          <w:rFonts w:ascii="Garamond" w:hAnsi="Garamond"/>
        </w:rPr>
      </w:pPr>
    </w:p>
    <w:p w14:paraId="15FCC03D" w14:textId="0969D720" w:rsidR="00423356" w:rsidRDefault="00423356" w:rsidP="00423356">
      <w:pPr>
        <w:pStyle w:val="Texteducorps0"/>
        <w:ind w:firstLine="0"/>
        <w:jc w:val="center"/>
        <w:rPr>
          <w:rStyle w:val="Texteducorps"/>
          <w:rFonts w:ascii="Garamond" w:hAnsi="Garamond"/>
          <w:b/>
          <w:bCs/>
        </w:rPr>
      </w:pPr>
      <w:r w:rsidRPr="00423356">
        <w:rPr>
          <w:rStyle w:val="Texteducorps"/>
          <w:rFonts w:ascii="Garamond" w:hAnsi="Garamond"/>
          <w:b/>
          <w:bCs/>
        </w:rPr>
        <w:t xml:space="preserve">Salle Marc Bloch </w:t>
      </w:r>
      <w:r w:rsidRPr="008757B9">
        <w:rPr>
          <w:rFonts w:ascii="Garamond" w:hAnsi="Garamond"/>
          <w:b/>
          <w:bCs/>
        </w:rPr>
        <w:t>(17 rue de la Sorbonne, 75005 Paris)</w:t>
      </w:r>
    </w:p>
    <w:p w14:paraId="0150C293" w14:textId="44D40328" w:rsidR="00423356" w:rsidRDefault="00423356" w:rsidP="00423356">
      <w:pPr>
        <w:pStyle w:val="Texteducorps0"/>
        <w:ind w:firstLine="0"/>
        <w:jc w:val="center"/>
        <w:rPr>
          <w:rFonts w:ascii="Garamond" w:hAnsi="Garamond"/>
        </w:rPr>
      </w:pPr>
      <w:proofErr w:type="gramStart"/>
      <w:r w:rsidRPr="00423356">
        <w:rPr>
          <w:rStyle w:val="Texteducorps"/>
          <w:rFonts w:ascii="Garamond" w:hAnsi="Garamond"/>
          <w:b/>
          <w:bCs/>
        </w:rPr>
        <w:t>de</w:t>
      </w:r>
      <w:proofErr w:type="gramEnd"/>
      <w:r w:rsidRPr="00423356">
        <w:rPr>
          <w:rStyle w:val="Texteducorps"/>
          <w:rFonts w:ascii="Garamond" w:hAnsi="Garamond"/>
          <w:b/>
          <w:bCs/>
        </w:rPr>
        <w:t xml:space="preserve"> 9h30 à 12h30</w:t>
      </w:r>
    </w:p>
    <w:p w14:paraId="093B3200" w14:textId="77777777" w:rsidR="00423356" w:rsidRPr="00423356" w:rsidRDefault="00423356" w:rsidP="00423356">
      <w:pPr>
        <w:pStyle w:val="Texteducorps0"/>
        <w:ind w:firstLine="0"/>
        <w:jc w:val="center"/>
        <w:rPr>
          <w:rStyle w:val="Texteducorps"/>
          <w:rFonts w:ascii="Garamond" w:hAnsi="Garamond"/>
        </w:rPr>
      </w:pPr>
    </w:p>
    <w:p w14:paraId="5D4FC842" w14:textId="58C27300" w:rsidR="00423356" w:rsidRDefault="00423356" w:rsidP="00423356">
      <w:pPr>
        <w:pStyle w:val="Texteducorps0"/>
        <w:spacing w:after="380" w:line="240" w:lineRule="auto"/>
        <w:ind w:firstLine="0"/>
        <w:jc w:val="center"/>
        <w:rPr>
          <w:rStyle w:val="Texteducorps"/>
          <w:rFonts w:ascii="Garamond" w:hAnsi="Garamond"/>
        </w:rPr>
      </w:pPr>
      <w:r w:rsidRPr="00423356">
        <w:rPr>
          <w:rFonts w:ascii="Garamond" w:hAnsi="Garamond"/>
          <w:b/>
          <w:bCs/>
        </w:rPr>
        <w:t>Coordinateurs :</w:t>
      </w:r>
      <w:r w:rsidRPr="00423356">
        <w:rPr>
          <w:rStyle w:val="Titre1"/>
          <w:rFonts w:ascii="Garamond" w:hAnsi="Garamond"/>
          <w:sz w:val="24"/>
          <w:szCs w:val="24"/>
        </w:rPr>
        <w:t xml:space="preserve"> </w:t>
      </w:r>
      <w:bookmarkStart w:id="0" w:name="_Hlk157186185"/>
      <w:r w:rsidRPr="00423356">
        <w:rPr>
          <w:rStyle w:val="Titre1"/>
          <w:rFonts w:ascii="Garamond" w:hAnsi="Garamond"/>
          <w:sz w:val="24"/>
          <w:szCs w:val="24"/>
        </w:rPr>
        <w:t xml:space="preserve">Jérôme </w:t>
      </w:r>
      <w:proofErr w:type="spellStart"/>
      <w:r w:rsidRPr="00FB601E">
        <w:rPr>
          <w:rStyle w:val="Titre1"/>
          <w:rFonts w:ascii="Garamond" w:hAnsi="Garamond"/>
          <w:smallCaps/>
          <w:sz w:val="24"/>
          <w:szCs w:val="24"/>
        </w:rPr>
        <w:t>Jacobé</w:t>
      </w:r>
      <w:proofErr w:type="spellEnd"/>
      <w:r w:rsidRPr="00423356">
        <w:rPr>
          <w:rStyle w:val="Titre1"/>
          <w:rFonts w:ascii="Garamond" w:hAnsi="Garamond"/>
          <w:sz w:val="24"/>
          <w:szCs w:val="24"/>
        </w:rPr>
        <w:t xml:space="preserve"> et Francesco </w:t>
      </w:r>
      <w:proofErr w:type="spellStart"/>
      <w:r w:rsidRPr="00FB601E">
        <w:rPr>
          <w:rStyle w:val="Titre1"/>
          <w:rFonts w:ascii="Garamond" w:hAnsi="Garamond"/>
          <w:smallCaps/>
          <w:sz w:val="24"/>
          <w:szCs w:val="24"/>
        </w:rPr>
        <w:t>Zambonin</w:t>
      </w:r>
      <w:bookmarkEnd w:id="0"/>
      <w:proofErr w:type="spellEnd"/>
    </w:p>
    <w:p w14:paraId="2EB78C40" w14:textId="77777777" w:rsidR="00FB601E" w:rsidRDefault="00FB601E" w:rsidP="00FB601E">
      <w:pPr>
        <w:pStyle w:val="Texteducorps0"/>
        <w:spacing w:after="0" w:line="240" w:lineRule="auto"/>
        <w:ind w:left="567" w:firstLine="0"/>
        <w:jc w:val="both"/>
        <w:rPr>
          <w:rStyle w:val="Texteducorps"/>
          <w:rFonts w:ascii="Garamond" w:hAnsi="Garamond"/>
        </w:rPr>
      </w:pPr>
    </w:p>
    <w:p w14:paraId="07BD0BAC" w14:textId="4D584D0C" w:rsidR="00FB601E" w:rsidRDefault="00FB601E" w:rsidP="00FB601E">
      <w:pPr>
        <w:pStyle w:val="Texteducorps0"/>
        <w:spacing w:after="0" w:line="240" w:lineRule="auto"/>
        <w:ind w:firstLine="0"/>
        <w:jc w:val="both"/>
        <w:rPr>
          <w:rStyle w:val="Texteducorps"/>
          <w:rFonts w:ascii="Garamond" w:hAnsi="Garamond"/>
        </w:rPr>
      </w:pPr>
      <w:r w:rsidRPr="006F59DE">
        <w:rPr>
          <w:rFonts w:ascii="Garamond" w:eastAsia="Arial Unicode MS" w:hAnsi="Garamond" w:cs="Arial Unicode MS"/>
          <w:b/>
          <w:bCs/>
          <w:kern w:val="2"/>
          <w:lang w:eastAsia="zh-CN" w:bidi="hi-IN"/>
        </w:rPr>
        <w:t>Introduction de</w:t>
      </w:r>
      <w:r w:rsidRPr="00FB601E">
        <w:rPr>
          <w:rStyle w:val="Titre1"/>
          <w:rFonts w:ascii="Garamond" w:hAnsi="Garamond"/>
          <w:sz w:val="24"/>
          <w:szCs w:val="24"/>
        </w:rPr>
        <w:t xml:space="preserve"> </w:t>
      </w:r>
      <w:r w:rsidRPr="00423356">
        <w:rPr>
          <w:rStyle w:val="Titre1"/>
          <w:rFonts w:ascii="Garamond" w:hAnsi="Garamond"/>
          <w:sz w:val="24"/>
          <w:szCs w:val="24"/>
        </w:rPr>
        <w:t xml:space="preserve">Jérôme </w:t>
      </w:r>
      <w:proofErr w:type="spellStart"/>
      <w:r w:rsidRPr="00FB601E">
        <w:rPr>
          <w:rStyle w:val="Titre1"/>
          <w:rFonts w:ascii="Garamond" w:hAnsi="Garamond"/>
          <w:smallCaps/>
          <w:sz w:val="24"/>
          <w:szCs w:val="24"/>
        </w:rPr>
        <w:t>Jacobé</w:t>
      </w:r>
      <w:proofErr w:type="spellEnd"/>
      <w:r w:rsidRPr="00423356">
        <w:rPr>
          <w:rStyle w:val="Titre1"/>
          <w:rFonts w:ascii="Garamond" w:hAnsi="Garamond"/>
          <w:sz w:val="24"/>
          <w:szCs w:val="24"/>
        </w:rPr>
        <w:t xml:space="preserve"> et Francesco </w:t>
      </w:r>
      <w:proofErr w:type="spellStart"/>
      <w:r w:rsidRPr="00FB601E">
        <w:rPr>
          <w:rStyle w:val="Titre1"/>
          <w:rFonts w:ascii="Garamond" w:hAnsi="Garamond"/>
          <w:smallCaps/>
          <w:sz w:val="24"/>
          <w:szCs w:val="24"/>
        </w:rPr>
        <w:t>Zambonin</w:t>
      </w:r>
      <w:proofErr w:type="spellEnd"/>
    </w:p>
    <w:p w14:paraId="6848C1A0" w14:textId="77777777" w:rsidR="00FB601E" w:rsidRDefault="00FB601E" w:rsidP="00FB601E">
      <w:pPr>
        <w:pStyle w:val="Texteducorps0"/>
        <w:spacing w:after="0" w:line="240" w:lineRule="auto"/>
        <w:ind w:left="567" w:firstLine="0"/>
        <w:jc w:val="both"/>
        <w:rPr>
          <w:rStyle w:val="Texteducorps"/>
          <w:rFonts w:ascii="Garamond" w:hAnsi="Garamond"/>
        </w:rPr>
      </w:pPr>
    </w:p>
    <w:p w14:paraId="42247ACC" w14:textId="12D2BB3F" w:rsidR="00497DD1" w:rsidRPr="00FB601E" w:rsidRDefault="002B4B60" w:rsidP="00FB601E">
      <w:pPr>
        <w:pStyle w:val="Texteducorps0"/>
        <w:spacing w:after="0" w:line="240" w:lineRule="auto"/>
        <w:ind w:left="567" w:firstLine="0"/>
        <w:jc w:val="both"/>
        <w:rPr>
          <w:rStyle w:val="Texteducorps"/>
          <w:rFonts w:ascii="Garamond" w:hAnsi="Garamond"/>
        </w:rPr>
      </w:pPr>
      <w:r w:rsidRPr="00423356">
        <w:rPr>
          <w:rStyle w:val="Texteducorps"/>
          <w:rFonts w:ascii="Garamond" w:hAnsi="Garamond"/>
        </w:rPr>
        <w:t>Cette journée d</w:t>
      </w:r>
      <w:r w:rsidR="00423356" w:rsidRPr="00423356">
        <w:rPr>
          <w:rStyle w:val="Texteducorps"/>
          <w:rFonts w:ascii="Garamond" w:hAnsi="Garamond"/>
        </w:rPr>
        <w:t>’</w:t>
      </w:r>
      <w:r w:rsidRPr="00423356">
        <w:rPr>
          <w:rStyle w:val="Texteducorps"/>
          <w:rFonts w:ascii="Garamond" w:hAnsi="Garamond"/>
        </w:rPr>
        <w:t>étude explore la notion d</w:t>
      </w:r>
      <w:r w:rsidR="00423356" w:rsidRPr="00423356">
        <w:rPr>
          <w:rStyle w:val="Texteducorps"/>
          <w:rFonts w:ascii="Garamond" w:hAnsi="Garamond"/>
        </w:rPr>
        <w:t>’</w:t>
      </w:r>
      <w:r w:rsidRPr="00423356">
        <w:rPr>
          <w:rStyle w:val="Texteducorps"/>
          <w:rFonts w:ascii="Garamond" w:hAnsi="Garamond"/>
        </w:rPr>
        <w:t>héritage en tant qu</w:t>
      </w:r>
      <w:r w:rsidR="00423356" w:rsidRPr="00423356">
        <w:rPr>
          <w:rStyle w:val="Texteducorps"/>
          <w:rFonts w:ascii="Garamond" w:hAnsi="Garamond"/>
        </w:rPr>
        <w:t>’</w:t>
      </w:r>
      <w:r w:rsidRPr="00423356">
        <w:rPr>
          <w:rStyle w:val="Texteducorps"/>
          <w:rFonts w:ascii="Garamond" w:hAnsi="Garamond"/>
        </w:rPr>
        <w:t>objet d</w:t>
      </w:r>
      <w:r w:rsidR="00497DD1">
        <w:rPr>
          <w:rStyle w:val="Texteducorps"/>
          <w:rFonts w:ascii="Garamond" w:hAnsi="Garamond"/>
        </w:rPr>
        <w:t>’</w:t>
      </w:r>
      <w:r w:rsidRPr="00423356">
        <w:rPr>
          <w:rStyle w:val="Texteducorps"/>
          <w:rFonts w:ascii="Garamond" w:hAnsi="Garamond"/>
        </w:rPr>
        <w:t>étude historique, couvrant une période allant de l</w:t>
      </w:r>
      <w:r w:rsidR="00423356" w:rsidRPr="00423356">
        <w:rPr>
          <w:rStyle w:val="Texteducorps"/>
          <w:rFonts w:ascii="Garamond" w:hAnsi="Garamond"/>
        </w:rPr>
        <w:t>’</w:t>
      </w:r>
      <w:r w:rsidRPr="00423356">
        <w:rPr>
          <w:rStyle w:val="Texteducorps"/>
          <w:rFonts w:ascii="Garamond" w:hAnsi="Garamond"/>
        </w:rPr>
        <w:t>antiquité à l</w:t>
      </w:r>
      <w:r w:rsidR="00423356" w:rsidRPr="00423356">
        <w:rPr>
          <w:rStyle w:val="Texteducorps"/>
          <w:rFonts w:ascii="Garamond" w:hAnsi="Garamond"/>
        </w:rPr>
        <w:t>’</w:t>
      </w:r>
      <w:r w:rsidRPr="00423356">
        <w:rPr>
          <w:rStyle w:val="Texteducorps"/>
          <w:rFonts w:ascii="Garamond" w:hAnsi="Garamond"/>
        </w:rPr>
        <w:t>époque contemporaine. La distinction entre hériter et transmettre souligne que ces deux termes, bien que liés, ne sont pas interchangeables. L</w:t>
      </w:r>
      <w:r w:rsidR="00423356" w:rsidRPr="00423356">
        <w:rPr>
          <w:rStyle w:val="Texteducorps"/>
          <w:rFonts w:ascii="Garamond" w:hAnsi="Garamond"/>
        </w:rPr>
        <w:t>’</w:t>
      </w:r>
      <w:r w:rsidRPr="00423356">
        <w:rPr>
          <w:rStyle w:val="Texteducorps"/>
          <w:rFonts w:ascii="Garamond" w:hAnsi="Garamond"/>
        </w:rPr>
        <w:t>ampleur délibérément vaste de la définition adoptée dépasse la simple analyse des dispositions testamentaires. En abordant l</w:t>
      </w:r>
      <w:r w:rsidR="00423356" w:rsidRPr="00423356">
        <w:rPr>
          <w:rStyle w:val="Texteducorps"/>
          <w:rFonts w:ascii="Garamond" w:hAnsi="Garamond"/>
        </w:rPr>
        <w:t>’</w:t>
      </w:r>
      <w:r w:rsidRPr="00423356">
        <w:rPr>
          <w:rStyle w:val="Texteducorps"/>
          <w:rFonts w:ascii="Garamond" w:hAnsi="Garamond"/>
        </w:rPr>
        <w:t>héritage comme un processus de transmission intergénérationnelle, la position conceptuelle tire avantage des contributions des sciences sociales, suggérant de ne pas limiter l</w:t>
      </w:r>
      <w:r w:rsidR="00423356" w:rsidRPr="00423356">
        <w:rPr>
          <w:rStyle w:val="Texteducorps"/>
          <w:rFonts w:ascii="Garamond" w:hAnsi="Garamond"/>
        </w:rPr>
        <w:t>’</w:t>
      </w:r>
      <w:r w:rsidRPr="00423356">
        <w:rPr>
          <w:rStyle w:val="Texteducorps"/>
          <w:rFonts w:ascii="Garamond" w:hAnsi="Garamond"/>
        </w:rPr>
        <w:t>héritage au simple transfert d</w:t>
      </w:r>
      <w:r w:rsidR="00423356" w:rsidRPr="00423356">
        <w:rPr>
          <w:rStyle w:val="Texteducorps"/>
          <w:rFonts w:ascii="Garamond" w:hAnsi="Garamond"/>
        </w:rPr>
        <w:t>’</w:t>
      </w:r>
      <w:r w:rsidRPr="00423356">
        <w:rPr>
          <w:rStyle w:val="Texteducorps"/>
          <w:rFonts w:ascii="Garamond" w:hAnsi="Garamond"/>
        </w:rPr>
        <w:t>un capital matériel au moment du décès. Entre ruptures et continuités, l</w:t>
      </w:r>
      <w:r w:rsidR="00423356" w:rsidRPr="00423356">
        <w:rPr>
          <w:rStyle w:val="Texteducorps"/>
          <w:rFonts w:ascii="Garamond" w:hAnsi="Garamond"/>
        </w:rPr>
        <w:t>’</w:t>
      </w:r>
      <w:r w:rsidRPr="00423356">
        <w:rPr>
          <w:rStyle w:val="Texteducorps"/>
          <w:rFonts w:ascii="Garamond" w:hAnsi="Garamond"/>
        </w:rPr>
        <w:t>héritage devient une médiation entre le passé et le présent, influençant et structurant le futur. En effet, l</w:t>
      </w:r>
      <w:r w:rsidR="00423356" w:rsidRPr="00423356">
        <w:rPr>
          <w:rStyle w:val="Texteducorps"/>
          <w:rFonts w:ascii="Garamond" w:hAnsi="Garamond"/>
        </w:rPr>
        <w:t>’</w:t>
      </w:r>
      <w:r w:rsidRPr="00423356">
        <w:rPr>
          <w:rStyle w:val="Texteducorps"/>
          <w:rFonts w:ascii="Garamond" w:hAnsi="Garamond"/>
        </w:rPr>
        <w:t>héritage structure le tissu social, en particulier les dynamiques familiales, mais aussi politiques. Une définition élargie de l</w:t>
      </w:r>
      <w:r w:rsidR="00423356" w:rsidRPr="00423356">
        <w:rPr>
          <w:rStyle w:val="Texteducorps"/>
          <w:rFonts w:ascii="Garamond" w:hAnsi="Garamond"/>
        </w:rPr>
        <w:t>’</w:t>
      </w:r>
      <w:r w:rsidRPr="00423356">
        <w:rPr>
          <w:rStyle w:val="Texteducorps"/>
          <w:rFonts w:ascii="Garamond" w:hAnsi="Garamond"/>
        </w:rPr>
        <w:t>héritage permet d</w:t>
      </w:r>
      <w:r w:rsidR="00423356" w:rsidRPr="00423356">
        <w:rPr>
          <w:rStyle w:val="Texteducorps"/>
          <w:rFonts w:ascii="Garamond" w:hAnsi="Garamond"/>
        </w:rPr>
        <w:t>’</w:t>
      </w:r>
      <w:r w:rsidRPr="00423356">
        <w:rPr>
          <w:rStyle w:val="Texteducorps"/>
          <w:rFonts w:ascii="Garamond" w:hAnsi="Garamond"/>
        </w:rPr>
        <w:t>explorer de manière diachronique les enjeux en amont des transmissions, mettant en lumière les stratégies d</w:t>
      </w:r>
      <w:r w:rsidR="00497DD1">
        <w:rPr>
          <w:rStyle w:val="Texteducorps"/>
          <w:rFonts w:ascii="Garamond" w:hAnsi="Garamond"/>
        </w:rPr>
        <w:t>’</w:t>
      </w:r>
      <w:r w:rsidRPr="00423356">
        <w:rPr>
          <w:rStyle w:val="Texteducorps"/>
          <w:rFonts w:ascii="Garamond" w:hAnsi="Garamond"/>
        </w:rPr>
        <w:t>anticipation des vivants et des morts cherchant à se libérer des contraintes imposées par diverses institutions.</w:t>
      </w:r>
    </w:p>
    <w:p w14:paraId="4DB18EE8" w14:textId="77777777" w:rsidR="00497DD1" w:rsidRDefault="00497DD1" w:rsidP="00497DD1">
      <w:pPr>
        <w:pStyle w:val="Texteducorps0"/>
        <w:spacing w:after="0" w:line="240" w:lineRule="auto"/>
        <w:ind w:firstLine="0"/>
        <w:jc w:val="both"/>
        <w:rPr>
          <w:rStyle w:val="Texteducorps"/>
          <w:rFonts w:ascii="Garamond" w:hAnsi="Garamond"/>
          <w:b/>
          <w:bCs/>
        </w:rPr>
      </w:pPr>
    </w:p>
    <w:p w14:paraId="253F39C5" w14:textId="5FDBC62A" w:rsidR="00BD1E44" w:rsidRPr="000E50A9" w:rsidRDefault="002B4B60" w:rsidP="00497DD1">
      <w:pPr>
        <w:pStyle w:val="Texteducorps0"/>
        <w:spacing w:after="0" w:line="240" w:lineRule="auto"/>
        <w:ind w:firstLine="0"/>
        <w:jc w:val="both"/>
        <w:rPr>
          <w:rFonts w:ascii="Garamond" w:hAnsi="Garamond"/>
          <w:b/>
          <w:bCs/>
        </w:rPr>
      </w:pPr>
      <w:r w:rsidRPr="00687DAE">
        <w:rPr>
          <w:rStyle w:val="Texteducorps"/>
          <w:rFonts w:ascii="Garamond" w:hAnsi="Garamond"/>
          <w:b/>
          <w:bCs/>
        </w:rPr>
        <w:t>Maxence BADAIRE</w:t>
      </w:r>
      <w:r w:rsidRPr="000E50A9">
        <w:rPr>
          <w:rStyle w:val="Texteducorps"/>
          <w:rFonts w:ascii="Garamond" w:hAnsi="Garamond"/>
          <w:b/>
          <w:bCs/>
        </w:rPr>
        <w:t xml:space="preserve"> (AN</w:t>
      </w:r>
      <w:r w:rsidR="000E50A9">
        <w:rPr>
          <w:rStyle w:val="Texteducorps"/>
          <w:rFonts w:ascii="Garamond" w:hAnsi="Garamond"/>
          <w:b/>
          <w:bCs/>
        </w:rPr>
        <w:t>H</w:t>
      </w:r>
      <w:r w:rsidRPr="000E50A9">
        <w:rPr>
          <w:rStyle w:val="Texteducorps"/>
          <w:rFonts w:ascii="Garamond" w:hAnsi="Garamond"/>
          <w:b/>
          <w:bCs/>
        </w:rPr>
        <w:t xml:space="preserve">IMA), </w:t>
      </w:r>
      <w:r w:rsidRPr="000E50A9">
        <w:rPr>
          <w:rStyle w:val="Texteducorps"/>
          <w:rFonts w:ascii="Garamond" w:hAnsi="Garamond"/>
          <w:b/>
          <w:bCs/>
          <w:i/>
          <w:iCs/>
        </w:rPr>
        <w:t>«</w:t>
      </w:r>
      <w:r w:rsidR="000E50A9">
        <w:rPr>
          <w:rStyle w:val="Texteducorps"/>
          <w:rFonts w:ascii="Garamond" w:hAnsi="Garamond"/>
          <w:b/>
          <w:bCs/>
          <w:i/>
          <w:iCs/>
        </w:rPr>
        <w:t> </w:t>
      </w:r>
      <w:r w:rsidRPr="000E50A9">
        <w:rPr>
          <w:rStyle w:val="Texteducorps"/>
          <w:rFonts w:ascii="Garamond" w:hAnsi="Garamond"/>
          <w:b/>
          <w:bCs/>
          <w:i/>
          <w:iCs/>
        </w:rPr>
        <w:t>Rendre au fils ce que j’ai reçu du père</w:t>
      </w:r>
      <w:r w:rsidR="000E50A9">
        <w:rPr>
          <w:rStyle w:val="Texteducorps"/>
          <w:rFonts w:ascii="Garamond" w:hAnsi="Garamond"/>
          <w:b/>
          <w:bCs/>
          <w:i/>
          <w:iCs/>
        </w:rPr>
        <w:t> </w:t>
      </w:r>
      <w:r w:rsidRPr="000E50A9">
        <w:rPr>
          <w:rStyle w:val="Texteducorps"/>
          <w:rFonts w:ascii="Garamond" w:hAnsi="Garamond"/>
          <w:b/>
          <w:bCs/>
          <w:i/>
          <w:iCs/>
        </w:rPr>
        <w:t>»</w:t>
      </w:r>
      <w:r w:rsidR="000E50A9">
        <w:rPr>
          <w:rStyle w:val="Texteducorps"/>
          <w:rFonts w:ascii="Garamond" w:hAnsi="Garamond"/>
          <w:b/>
          <w:bCs/>
          <w:i/>
          <w:iCs/>
        </w:rPr>
        <w:t> </w:t>
      </w:r>
      <w:r w:rsidRPr="000E50A9">
        <w:rPr>
          <w:rStyle w:val="Texteducorps"/>
          <w:rFonts w:ascii="Garamond" w:hAnsi="Garamond"/>
          <w:b/>
          <w:bCs/>
          <w:i/>
          <w:iCs/>
        </w:rPr>
        <w:t xml:space="preserve">: </w:t>
      </w:r>
      <w:r w:rsidR="000E50A9">
        <w:rPr>
          <w:rStyle w:val="Texteducorps"/>
          <w:rFonts w:ascii="Garamond" w:hAnsi="Garamond"/>
          <w:b/>
          <w:bCs/>
          <w:i/>
          <w:iCs/>
        </w:rPr>
        <w:t>l</w:t>
      </w:r>
      <w:r w:rsidRPr="000E50A9">
        <w:rPr>
          <w:rStyle w:val="Texteducorps"/>
          <w:rFonts w:ascii="Garamond" w:hAnsi="Garamond"/>
          <w:b/>
          <w:bCs/>
          <w:i/>
          <w:iCs/>
        </w:rPr>
        <w:t>a revendication aristocratique de l’héritage sacerdotal à Rome</w:t>
      </w:r>
    </w:p>
    <w:p w14:paraId="0AE42E5D" w14:textId="77777777" w:rsidR="00497DD1" w:rsidRDefault="00497DD1" w:rsidP="00497DD1">
      <w:pPr>
        <w:pStyle w:val="Texteducorps0"/>
        <w:spacing w:after="0" w:line="240" w:lineRule="auto"/>
        <w:ind w:firstLine="0"/>
        <w:jc w:val="both"/>
        <w:rPr>
          <w:rStyle w:val="Texteducorps"/>
          <w:rFonts w:ascii="Garamond" w:hAnsi="Garamond"/>
        </w:rPr>
      </w:pPr>
    </w:p>
    <w:p w14:paraId="08BE9AA8" w14:textId="601CC545" w:rsidR="00BD1E44" w:rsidRPr="00423356" w:rsidRDefault="002B4B60" w:rsidP="00497DD1">
      <w:pPr>
        <w:pStyle w:val="Texteducorps0"/>
        <w:spacing w:after="0" w:line="240" w:lineRule="auto"/>
        <w:ind w:left="567" w:firstLine="0"/>
        <w:jc w:val="both"/>
        <w:rPr>
          <w:rFonts w:ascii="Garamond" w:hAnsi="Garamond"/>
        </w:rPr>
      </w:pPr>
      <w:r w:rsidRPr="00423356">
        <w:rPr>
          <w:rStyle w:val="Texteducorps"/>
          <w:rFonts w:ascii="Garamond" w:hAnsi="Garamond"/>
        </w:rPr>
        <w:t xml:space="preserve">Cette communication propose d’aborder la question de la transmission des charges sacerdotales à Rome, de la période républicaine du </w:t>
      </w:r>
      <w:proofErr w:type="spellStart"/>
      <w:r w:rsidR="00FB601E">
        <w:rPr>
          <w:rStyle w:val="Texteducorps"/>
          <w:rFonts w:ascii="Garamond" w:hAnsi="Garamond"/>
          <w:smallCaps/>
        </w:rPr>
        <w:t>ii</w:t>
      </w:r>
      <w:r w:rsidRPr="00423356">
        <w:rPr>
          <w:rStyle w:val="Texteducorps"/>
          <w:rFonts w:ascii="Garamond" w:hAnsi="Garamond"/>
          <w:vertAlign w:val="superscript"/>
        </w:rPr>
        <w:t>e</w:t>
      </w:r>
      <w:proofErr w:type="spellEnd"/>
      <w:r w:rsidR="00FB601E">
        <w:rPr>
          <w:rStyle w:val="Texteducorps"/>
          <w:rFonts w:ascii="Garamond" w:hAnsi="Garamond"/>
        </w:rPr>
        <w:t> </w:t>
      </w:r>
      <w:r w:rsidRPr="00423356">
        <w:rPr>
          <w:rStyle w:val="Texteducorps"/>
          <w:rFonts w:ascii="Garamond" w:hAnsi="Garamond"/>
        </w:rPr>
        <w:t>siècle av.</w:t>
      </w:r>
      <w:r w:rsidR="00FB601E">
        <w:rPr>
          <w:rStyle w:val="Texteducorps"/>
          <w:rFonts w:ascii="Garamond" w:hAnsi="Garamond"/>
        </w:rPr>
        <w:t> </w:t>
      </w:r>
      <w:r w:rsidRPr="00423356">
        <w:rPr>
          <w:rStyle w:val="Texteducorps"/>
          <w:rFonts w:ascii="Garamond" w:hAnsi="Garamond"/>
        </w:rPr>
        <w:t>n.</w:t>
      </w:r>
      <w:r w:rsidR="00FB601E">
        <w:rPr>
          <w:rStyle w:val="Texteducorps"/>
          <w:rFonts w:ascii="Garamond" w:hAnsi="Garamond"/>
        </w:rPr>
        <w:t> </w:t>
      </w:r>
      <w:r w:rsidRPr="00423356">
        <w:rPr>
          <w:rStyle w:val="Texteducorps"/>
          <w:rFonts w:ascii="Garamond" w:hAnsi="Garamond"/>
        </w:rPr>
        <w:t>è. jusqu’à la mort de Tibère. Il s’agit, au travers de cette étude, de s’attacher à observer la place qu’occupaient dans les mentalités de l’élite politique les questions d’héritage et de transmission familiale, sous l’angle particulier des sacerdoces. La religion et les cultes publiques à Rome, du fait qu’ils engageaient toute la communauté civique, étaient toujours placés sous la conduite de l’élite politique. Aussi</w:t>
      </w:r>
      <w:r w:rsidR="00687DAE">
        <w:rPr>
          <w:rStyle w:val="Texteducorps"/>
          <w:rFonts w:ascii="Garamond" w:hAnsi="Garamond"/>
        </w:rPr>
        <w:t>,</w:t>
      </w:r>
      <w:r w:rsidRPr="00423356">
        <w:rPr>
          <w:rStyle w:val="Texteducorps"/>
          <w:rFonts w:ascii="Garamond" w:hAnsi="Garamond"/>
        </w:rPr>
        <w:t xml:space="preserve"> le culte à Rome était encadré par plusieurs grands collèges sacerdotaux, composés de membres de l’aristocratie qui bien souvent occupaient les premières places politiques de la cité. Ces derniers officiaient comme prêtres du culte public, accompagnaient la pratique rituelle des magistrats et étaient responsables des relations entretenues entre les citoyens romains et les dieux. S’ajout</w:t>
      </w:r>
      <w:r w:rsidR="00687DAE">
        <w:rPr>
          <w:rStyle w:val="Texteducorps"/>
          <w:rFonts w:ascii="Garamond" w:hAnsi="Garamond"/>
        </w:rPr>
        <w:t>ait</w:t>
      </w:r>
      <w:r w:rsidRPr="00423356">
        <w:rPr>
          <w:rStyle w:val="Texteducorps"/>
          <w:rFonts w:ascii="Garamond" w:hAnsi="Garamond"/>
        </w:rPr>
        <w:t xml:space="preserve"> à cela une interdiction, formelle ou implicite, qui empêchait </w:t>
      </w:r>
      <w:r w:rsidRPr="00423356">
        <w:rPr>
          <w:rStyle w:val="Texteducorps"/>
          <w:rFonts w:ascii="Garamond" w:hAnsi="Garamond"/>
        </w:rPr>
        <w:lastRenderedPageBreak/>
        <w:t>deux membres d’une même famille d’appartenir à un collège sacerdotal identique. Cette règle compliquait donc, assez logiquement, la cooptation d’un fils dans le collège de son père, de son oncle ou de son frère.</w:t>
      </w:r>
      <w:r w:rsidR="00497DD1">
        <w:rPr>
          <w:rFonts w:ascii="Garamond" w:hAnsi="Garamond"/>
        </w:rPr>
        <w:t xml:space="preserve"> </w:t>
      </w:r>
      <w:r w:rsidRPr="00423356">
        <w:rPr>
          <w:rStyle w:val="Texteducorps"/>
          <w:rFonts w:ascii="Garamond" w:hAnsi="Garamond"/>
        </w:rPr>
        <w:t>Il s’agit donc de montrer comment pouvaient entrer en conflit les normes et règles de l’aristocratie, qu’elle avait elle-même mises en place, avec la manière qu’avait cette dernière de se (re)présenter, notamment par ses références constantes au passé des ancêtres et à la gloire</w:t>
      </w:r>
      <w:r w:rsidR="00497DD1">
        <w:rPr>
          <w:rFonts w:ascii="Garamond" w:hAnsi="Garamond"/>
        </w:rPr>
        <w:t xml:space="preserve"> </w:t>
      </w:r>
      <w:r w:rsidRPr="00423356">
        <w:rPr>
          <w:rStyle w:val="Texteducorps"/>
          <w:rFonts w:ascii="Garamond" w:hAnsi="Garamond"/>
        </w:rPr>
        <w:t>des familles de la noblesse. Cet argumentaire de l’héritage et de la transmission en général, construit par l’élite politique afin de justifier sa position sur l’ensemble de la société romaine, pouvait ainsi être mobilisé par des individus se retrouvant dans des situations d’</w:t>
      </w:r>
      <w:r w:rsidRPr="00423356">
        <w:rPr>
          <w:rStyle w:val="Texteducorps"/>
          <w:rFonts w:ascii="Garamond" w:hAnsi="Garamond"/>
          <w:i/>
          <w:iCs/>
        </w:rPr>
        <w:t>outsiders</w:t>
      </w:r>
      <w:r w:rsidRPr="00423356">
        <w:rPr>
          <w:rStyle w:val="Texteducorps"/>
          <w:rFonts w:ascii="Garamond" w:hAnsi="Garamond"/>
        </w:rPr>
        <w:t>.</w:t>
      </w:r>
    </w:p>
    <w:p w14:paraId="2DED232D" w14:textId="77777777" w:rsidR="00497DD1" w:rsidRDefault="00497DD1" w:rsidP="00497DD1">
      <w:pPr>
        <w:pStyle w:val="Texteducorps0"/>
        <w:spacing w:after="0" w:line="240" w:lineRule="auto"/>
        <w:ind w:firstLine="0"/>
        <w:jc w:val="both"/>
        <w:rPr>
          <w:rStyle w:val="Texteducorps"/>
          <w:rFonts w:ascii="Garamond" w:hAnsi="Garamond"/>
          <w:b/>
          <w:bCs/>
        </w:rPr>
      </w:pPr>
    </w:p>
    <w:p w14:paraId="133FCD44" w14:textId="46A1ABA3" w:rsidR="00BD1E44" w:rsidRPr="000E50A9" w:rsidRDefault="002B4B60" w:rsidP="00497DD1">
      <w:pPr>
        <w:pStyle w:val="Texteducorps0"/>
        <w:spacing w:after="0" w:line="240" w:lineRule="auto"/>
        <w:ind w:firstLine="0"/>
        <w:jc w:val="both"/>
        <w:rPr>
          <w:rFonts w:ascii="Garamond" w:hAnsi="Garamond"/>
          <w:b/>
          <w:bCs/>
        </w:rPr>
      </w:pPr>
      <w:r w:rsidRPr="000E50A9">
        <w:rPr>
          <w:rStyle w:val="Texteducorps"/>
          <w:rFonts w:ascii="Garamond" w:hAnsi="Garamond"/>
          <w:b/>
          <w:bCs/>
        </w:rPr>
        <w:t xml:space="preserve">André MOUTINHO-RODRIGUES (LAMOP), </w:t>
      </w:r>
      <w:r w:rsidRPr="000E50A9">
        <w:rPr>
          <w:rStyle w:val="Texteducorps"/>
          <w:rFonts w:ascii="Garamond" w:hAnsi="Garamond"/>
          <w:b/>
          <w:bCs/>
          <w:i/>
          <w:iCs/>
        </w:rPr>
        <w:t>Libéralité ou liberté de léguer</w:t>
      </w:r>
      <w:r w:rsidR="000E50A9" w:rsidRPr="000E50A9">
        <w:rPr>
          <w:rStyle w:val="Texteducorps"/>
          <w:rFonts w:ascii="Garamond" w:hAnsi="Garamond"/>
          <w:b/>
          <w:bCs/>
          <w:i/>
          <w:iCs/>
        </w:rPr>
        <w:t> </w:t>
      </w:r>
      <w:r w:rsidRPr="000E50A9">
        <w:rPr>
          <w:rStyle w:val="Texteducorps"/>
          <w:rFonts w:ascii="Garamond" w:hAnsi="Garamond"/>
          <w:b/>
          <w:bCs/>
          <w:i/>
          <w:iCs/>
        </w:rPr>
        <w:t xml:space="preserve">: la stratégie de transmission mise en œuvre par le cardinal Jorge da Costa face au </w:t>
      </w:r>
      <w:r w:rsidR="00062D87">
        <w:rPr>
          <w:rStyle w:val="Texteducorps"/>
          <w:rFonts w:ascii="Garamond" w:hAnsi="Garamond"/>
          <w:b/>
          <w:bCs/>
          <w:i/>
          <w:iCs/>
        </w:rPr>
        <w:t>p</w:t>
      </w:r>
      <w:r w:rsidRPr="000E50A9">
        <w:rPr>
          <w:rStyle w:val="Texteducorps"/>
          <w:rFonts w:ascii="Garamond" w:hAnsi="Garamond"/>
          <w:b/>
          <w:bCs/>
          <w:i/>
          <w:iCs/>
        </w:rPr>
        <w:t>ape (1492-1508)</w:t>
      </w:r>
    </w:p>
    <w:p w14:paraId="3C9B7672" w14:textId="77777777" w:rsidR="00497DD1" w:rsidRDefault="00497DD1" w:rsidP="00497DD1">
      <w:pPr>
        <w:pStyle w:val="Texteducorps0"/>
        <w:spacing w:after="0" w:line="240" w:lineRule="auto"/>
        <w:ind w:firstLine="0"/>
        <w:jc w:val="both"/>
        <w:rPr>
          <w:rStyle w:val="Texteducorps"/>
          <w:rFonts w:ascii="Garamond" w:hAnsi="Garamond"/>
        </w:rPr>
      </w:pPr>
    </w:p>
    <w:p w14:paraId="157C9C22" w14:textId="723B9E7B" w:rsidR="00497DD1" w:rsidRPr="00FB601E" w:rsidRDefault="002B4B60" w:rsidP="00FB601E">
      <w:pPr>
        <w:pStyle w:val="Texteducorps0"/>
        <w:spacing w:after="0" w:line="240" w:lineRule="auto"/>
        <w:ind w:left="567" w:firstLine="0"/>
        <w:jc w:val="both"/>
        <w:rPr>
          <w:rStyle w:val="Texteducorps"/>
          <w:rFonts w:ascii="Garamond" w:hAnsi="Garamond"/>
        </w:rPr>
      </w:pPr>
      <w:r w:rsidRPr="00423356">
        <w:rPr>
          <w:rStyle w:val="Texteducorps"/>
          <w:rFonts w:ascii="Garamond" w:hAnsi="Garamond"/>
        </w:rPr>
        <w:t xml:space="preserve">Entre le </w:t>
      </w:r>
      <w:proofErr w:type="spellStart"/>
      <w:r w:rsidR="000E50A9">
        <w:rPr>
          <w:rStyle w:val="Texteducorps"/>
          <w:rFonts w:ascii="Garamond" w:hAnsi="Garamond"/>
          <w:smallCaps/>
        </w:rPr>
        <w:t>xii</w:t>
      </w:r>
      <w:r w:rsidRPr="000E50A9">
        <w:rPr>
          <w:rStyle w:val="Texteducorps"/>
          <w:rFonts w:ascii="Garamond" w:hAnsi="Garamond"/>
          <w:vertAlign w:val="superscript"/>
        </w:rPr>
        <w:t>e</w:t>
      </w:r>
      <w:proofErr w:type="spellEnd"/>
      <w:r w:rsidRPr="00423356">
        <w:rPr>
          <w:rStyle w:val="Texteducorps"/>
          <w:rFonts w:ascii="Garamond" w:hAnsi="Garamond"/>
        </w:rPr>
        <w:t xml:space="preserve"> et le </w:t>
      </w:r>
      <w:bookmarkStart w:id="1" w:name="_Hlk157185494"/>
      <w:proofErr w:type="spellStart"/>
      <w:r w:rsidR="000E50A9">
        <w:rPr>
          <w:rStyle w:val="Texteducorps"/>
          <w:rFonts w:ascii="Garamond" w:hAnsi="Garamond"/>
          <w:smallCaps/>
        </w:rPr>
        <w:t>xv</w:t>
      </w:r>
      <w:r w:rsidRPr="000E50A9">
        <w:rPr>
          <w:rStyle w:val="Texteducorps"/>
          <w:rFonts w:ascii="Garamond" w:hAnsi="Garamond"/>
          <w:vertAlign w:val="superscript"/>
        </w:rPr>
        <w:t>e</w:t>
      </w:r>
      <w:proofErr w:type="spellEnd"/>
      <w:r w:rsidR="000E50A9">
        <w:rPr>
          <w:rStyle w:val="Texteducorps"/>
          <w:rFonts w:ascii="Garamond" w:hAnsi="Garamond"/>
        </w:rPr>
        <w:t> </w:t>
      </w:r>
      <w:bookmarkEnd w:id="1"/>
      <w:r w:rsidRPr="00FC0AB8">
        <w:rPr>
          <w:rStyle w:val="Texteducorps"/>
          <w:rFonts w:ascii="Garamond" w:hAnsi="Garamond"/>
        </w:rPr>
        <w:t>siècle, les c</w:t>
      </w:r>
      <w:r w:rsidR="00FC0AB8" w:rsidRPr="00FC0AB8">
        <w:rPr>
          <w:rStyle w:val="Texteducorps"/>
          <w:rFonts w:ascii="Garamond" w:hAnsi="Garamond"/>
        </w:rPr>
        <w:t>onditions</w:t>
      </w:r>
      <w:r w:rsidRPr="00423356">
        <w:rPr>
          <w:rStyle w:val="Texteducorps"/>
          <w:rFonts w:ascii="Garamond" w:hAnsi="Garamond"/>
        </w:rPr>
        <w:t xml:space="preserve"> de transmission d’héritage deviennent de plus en plus contraignantes pour les ecclésiastiques. À partir de 1179, le concile du Latran interdit</w:t>
      </w:r>
      <w:r w:rsidR="00FC0AB8">
        <w:rPr>
          <w:rStyle w:val="Texteducorps"/>
          <w:rFonts w:ascii="Garamond" w:hAnsi="Garamond"/>
        </w:rPr>
        <w:t xml:space="preserve"> à ces derniers</w:t>
      </w:r>
      <w:r w:rsidRPr="00423356">
        <w:rPr>
          <w:rStyle w:val="Texteducorps"/>
          <w:rFonts w:ascii="Garamond" w:hAnsi="Garamond"/>
        </w:rPr>
        <w:t xml:space="preserve"> de disposer des biens obtenus dans le cadre de leurs fonctions sacerdotales. L</w:t>
      </w:r>
      <w:r w:rsidR="000E50A9">
        <w:rPr>
          <w:rStyle w:val="Texteducorps"/>
          <w:rFonts w:ascii="Garamond" w:hAnsi="Garamond"/>
        </w:rPr>
        <w:t>’</w:t>
      </w:r>
      <w:r w:rsidRPr="00423356">
        <w:rPr>
          <w:rStyle w:val="Texteducorps"/>
          <w:rFonts w:ascii="Garamond" w:hAnsi="Garamond"/>
        </w:rPr>
        <w:t xml:space="preserve">évolution législative concernant la capacité des ecclésiastiques en matière de transmission de patrimoine sera dès lors marquée par deux principes juridiques spécifiques </w:t>
      </w:r>
      <w:r w:rsidR="00DD3485">
        <w:rPr>
          <w:rStyle w:val="Texteducorps"/>
          <w:rFonts w:ascii="Garamond" w:hAnsi="Garamond"/>
        </w:rPr>
        <w:t xml:space="preserve">qui </w:t>
      </w:r>
      <w:r w:rsidRPr="00423356">
        <w:rPr>
          <w:rStyle w:val="Texteducorps"/>
          <w:rFonts w:ascii="Garamond" w:hAnsi="Garamond"/>
        </w:rPr>
        <w:t xml:space="preserve">sont consolidés et utilisés plus fréquemment à partir du </w:t>
      </w:r>
      <w:proofErr w:type="spellStart"/>
      <w:r w:rsidR="000E50A9">
        <w:rPr>
          <w:rStyle w:val="Texteducorps"/>
          <w:rFonts w:ascii="Garamond" w:hAnsi="Garamond"/>
          <w:smallCaps/>
        </w:rPr>
        <w:t>xii</w:t>
      </w:r>
      <w:r w:rsidRPr="000E50A9">
        <w:rPr>
          <w:rStyle w:val="Texteducorps"/>
          <w:rFonts w:ascii="Garamond" w:hAnsi="Garamond"/>
          <w:vertAlign w:val="superscript"/>
        </w:rPr>
        <w:t>e</w:t>
      </w:r>
      <w:proofErr w:type="spellEnd"/>
      <w:r w:rsidR="000E50A9">
        <w:rPr>
          <w:rStyle w:val="Texteducorps"/>
          <w:rFonts w:ascii="Garamond" w:hAnsi="Garamond"/>
        </w:rPr>
        <w:t> </w:t>
      </w:r>
      <w:r w:rsidRPr="00423356">
        <w:rPr>
          <w:rStyle w:val="Texteducorps"/>
          <w:rFonts w:ascii="Garamond" w:hAnsi="Garamond"/>
        </w:rPr>
        <w:t>siècle</w:t>
      </w:r>
      <w:r w:rsidR="000E50A9">
        <w:rPr>
          <w:rStyle w:val="Texteducorps"/>
          <w:rFonts w:ascii="Garamond" w:hAnsi="Garamond"/>
        </w:rPr>
        <w:t> </w:t>
      </w:r>
      <w:r w:rsidRPr="00423356">
        <w:rPr>
          <w:rStyle w:val="Texteducorps"/>
          <w:rFonts w:ascii="Garamond" w:hAnsi="Garamond"/>
        </w:rPr>
        <w:t xml:space="preserve">: le </w:t>
      </w:r>
      <w:proofErr w:type="spellStart"/>
      <w:r w:rsidRPr="00423356">
        <w:rPr>
          <w:rStyle w:val="Texteducorps"/>
          <w:rFonts w:ascii="Garamond" w:hAnsi="Garamond"/>
          <w:i/>
          <w:iCs/>
        </w:rPr>
        <w:t>ius</w:t>
      </w:r>
      <w:proofErr w:type="spellEnd"/>
      <w:r w:rsidRPr="00423356">
        <w:rPr>
          <w:rStyle w:val="Texteducorps"/>
          <w:rFonts w:ascii="Garamond" w:hAnsi="Garamond"/>
          <w:i/>
          <w:iCs/>
        </w:rPr>
        <w:t xml:space="preserve"> </w:t>
      </w:r>
      <w:proofErr w:type="spellStart"/>
      <w:r w:rsidRPr="00423356">
        <w:rPr>
          <w:rStyle w:val="Texteducorps"/>
          <w:rFonts w:ascii="Garamond" w:hAnsi="Garamond"/>
          <w:i/>
          <w:iCs/>
        </w:rPr>
        <w:t>spolii</w:t>
      </w:r>
      <w:proofErr w:type="spellEnd"/>
      <w:r w:rsidRPr="00423356">
        <w:rPr>
          <w:rStyle w:val="Texteducorps"/>
          <w:rFonts w:ascii="Garamond" w:hAnsi="Garamond"/>
        </w:rPr>
        <w:t xml:space="preserve"> et les </w:t>
      </w:r>
      <w:proofErr w:type="spellStart"/>
      <w:r w:rsidRPr="00423356">
        <w:rPr>
          <w:rStyle w:val="Texteducorps"/>
          <w:rFonts w:ascii="Garamond" w:hAnsi="Garamond"/>
          <w:i/>
          <w:iCs/>
        </w:rPr>
        <w:t>licentiae</w:t>
      </w:r>
      <w:proofErr w:type="spellEnd"/>
      <w:r w:rsidRPr="00423356">
        <w:rPr>
          <w:rStyle w:val="Texteducorps"/>
          <w:rFonts w:ascii="Garamond" w:hAnsi="Garamond"/>
          <w:i/>
          <w:iCs/>
        </w:rPr>
        <w:t xml:space="preserve"> </w:t>
      </w:r>
      <w:proofErr w:type="spellStart"/>
      <w:r w:rsidRPr="00423356">
        <w:rPr>
          <w:rStyle w:val="Texteducorps"/>
          <w:rFonts w:ascii="Garamond" w:hAnsi="Garamond"/>
          <w:i/>
          <w:iCs/>
        </w:rPr>
        <w:t>testandi</w:t>
      </w:r>
      <w:proofErr w:type="spellEnd"/>
      <w:r w:rsidRPr="00423356">
        <w:rPr>
          <w:rStyle w:val="Texteducorps"/>
          <w:rFonts w:ascii="Garamond" w:hAnsi="Garamond"/>
        </w:rPr>
        <w:t xml:space="preserve">. À la fin du </w:t>
      </w:r>
      <w:proofErr w:type="spellStart"/>
      <w:r w:rsidR="000E50A9">
        <w:rPr>
          <w:rStyle w:val="Texteducorps"/>
          <w:rFonts w:ascii="Garamond" w:hAnsi="Garamond"/>
          <w:smallCaps/>
        </w:rPr>
        <w:t>xv</w:t>
      </w:r>
      <w:r w:rsidR="000E50A9" w:rsidRPr="000E50A9">
        <w:rPr>
          <w:rStyle w:val="Texteducorps"/>
          <w:rFonts w:ascii="Garamond" w:hAnsi="Garamond"/>
          <w:vertAlign w:val="superscript"/>
        </w:rPr>
        <w:t>e</w:t>
      </w:r>
      <w:proofErr w:type="spellEnd"/>
      <w:r w:rsidR="000E50A9">
        <w:rPr>
          <w:rStyle w:val="Texteducorps"/>
          <w:rFonts w:ascii="Garamond" w:hAnsi="Garamond"/>
        </w:rPr>
        <w:t> </w:t>
      </w:r>
      <w:r w:rsidRPr="00423356">
        <w:rPr>
          <w:rStyle w:val="Texteducorps"/>
          <w:rFonts w:ascii="Garamond" w:hAnsi="Garamond"/>
        </w:rPr>
        <w:t>siècle, l</w:t>
      </w:r>
      <w:r w:rsidR="000E50A9">
        <w:rPr>
          <w:rStyle w:val="Texteducorps"/>
          <w:rFonts w:ascii="Garamond" w:hAnsi="Garamond"/>
        </w:rPr>
        <w:t>’</w:t>
      </w:r>
      <w:r w:rsidRPr="00423356">
        <w:rPr>
          <w:rStyle w:val="Texteducorps"/>
          <w:rFonts w:ascii="Garamond" w:hAnsi="Garamond"/>
        </w:rPr>
        <w:t>articulation de ces deux mécanismes a atteint un tel stade que la papauté exerce un contrôle absolu sur les biens des ecclésiastiques décédés à l</w:t>
      </w:r>
      <w:r w:rsidR="000E50A9">
        <w:rPr>
          <w:rStyle w:val="Texteducorps"/>
          <w:rFonts w:ascii="Garamond" w:hAnsi="Garamond"/>
        </w:rPr>
        <w:t>’</w:t>
      </w:r>
      <w:r w:rsidRPr="00423356">
        <w:rPr>
          <w:rStyle w:val="Texteducorps"/>
          <w:rFonts w:ascii="Garamond" w:hAnsi="Garamond"/>
        </w:rPr>
        <w:t>intérieur et à l</w:t>
      </w:r>
      <w:r w:rsidR="000E50A9">
        <w:rPr>
          <w:rStyle w:val="Texteducorps"/>
          <w:rFonts w:ascii="Garamond" w:hAnsi="Garamond"/>
        </w:rPr>
        <w:t>’</w:t>
      </w:r>
      <w:r w:rsidRPr="00423356">
        <w:rPr>
          <w:rStyle w:val="Texteducorps"/>
          <w:rFonts w:ascii="Garamond" w:hAnsi="Garamond"/>
        </w:rPr>
        <w:t>extérieur de la Curie romaine. Néanmoins, il existe des cas qui montrent des tentatives de résistance à ces restrictions. L</w:t>
      </w:r>
      <w:r w:rsidR="000E50A9">
        <w:rPr>
          <w:rStyle w:val="Texteducorps"/>
          <w:rFonts w:ascii="Garamond" w:hAnsi="Garamond"/>
        </w:rPr>
        <w:t>’</w:t>
      </w:r>
      <w:r w:rsidRPr="00423356">
        <w:rPr>
          <w:rStyle w:val="Texteducorps"/>
          <w:rFonts w:ascii="Garamond" w:hAnsi="Garamond"/>
        </w:rPr>
        <w:t>un des cas les plus éloquents est celui d</w:t>
      </w:r>
      <w:r w:rsidR="00DD3485">
        <w:rPr>
          <w:rStyle w:val="Texteducorps"/>
          <w:rFonts w:ascii="Garamond" w:hAnsi="Garamond"/>
        </w:rPr>
        <w:t>u</w:t>
      </w:r>
      <w:r w:rsidRPr="00423356">
        <w:rPr>
          <w:rStyle w:val="Texteducorps"/>
          <w:rFonts w:ascii="Garamond" w:hAnsi="Garamond"/>
        </w:rPr>
        <w:t xml:space="preserve"> </w:t>
      </w:r>
      <w:r w:rsidR="00DD3485" w:rsidRPr="00423356">
        <w:rPr>
          <w:rStyle w:val="Texteducorps"/>
          <w:rFonts w:ascii="Garamond" w:hAnsi="Garamond"/>
        </w:rPr>
        <w:t xml:space="preserve">cardinal portugais </w:t>
      </w:r>
      <w:r w:rsidRPr="00423356">
        <w:rPr>
          <w:rStyle w:val="Texteducorps"/>
          <w:rFonts w:ascii="Garamond" w:hAnsi="Garamond"/>
        </w:rPr>
        <w:t xml:space="preserve">Jorge da Costa, </w:t>
      </w:r>
      <w:r w:rsidR="00DD3485">
        <w:rPr>
          <w:rStyle w:val="Texteducorps"/>
          <w:rFonts w:ascii="Garamond" w:hAnsi="Garamond"/>
        </w:rPr>
        <w:t>l’un d</w:t>
      </w:r>
      <w:r w:rsidRPr="00423356">
        <w:rPr>
          <w:rStyle w:val="Texteducorps"/>
          <w:rFonts w:ascii="Garamond" w:hAnsi="Garamond"/>
        </w:rPr>
        <w:t>es membres les plus anciens et les plus respectés du Sacré Collège. Sous le pontificat d</w:t>
      </w:r>
      <w:r w:rsidR="000E50A9">
        <w:rPr>
          <w:rStyle w:val="Texteducorps"/>
          <w:rFonts w:ascii="Garamond" w:hAnsi="Garamond"/>
        </w:rPr>
        <w:t>’</w:t>
      </w:r>
      <w:r w:rsidRPr="00423356">
        <w:rPr>
          <w:rStyle w:val="Texteducorps"/>
          <w:rFonts w:ascii="Garamond" w:hAnsi="Garamond"/>
        </w:rPr>
        <w:t>Alexandre</w:t>
      </w:r>
      <w:r w:rsidR="000E50A9">
        <w:rPr>
          <w:rStyle w:val="Texteducorps"/>
          <w:rFonts w:ascii="Garamond" w:hAnsi="Garamond"/>
        </w:rPr>
        <w:t> </w:t>
      </w:r>
      <w:r w:rsidRPr="00423356">
        <w:rPr>
          <w:rStyle w:val="Texteducorps"/>
          <w:rFonts w:ascii="Garamond" w:hAnsi="Garamond"/>
        </w:rPr>
        <w:t>VI, le cardinal portugais étonne ses contemporains en mettant en œuvre une stratégie de transmission matérielle au profit de sa famille et au détriment des intérêts du pape et du roi du Portugal. Dans cet</w:t>
      </w:r>
      <w:r w:rsidR="00630037">
        <w:rPr>
          <w:rStyle w:val="Texteducorps"/>
          <w:rFonts w:ascii="Garamond" w:hAnsi="Garamond"/>
        </w:rPr>
        <w:t>te</w:t>
      </w:r>
      <w:r w:rsidRPr="00423356">
        <w:rPr>
          <w:rStyle w:val="Texteducorps"/>
          <w:rFonts w:ascii="Garamond" w:hAnsi="Garamond"/>
        </w:rPr>
        <w:t xml:space="preserve"> </w:t>
      </w:r>
      <w:r w:rsidR="00630037">
        <w:rPr>
          <w:rStyle w:val="Texteducorps"/>
          <w:rFonts w:ascii="Garamond" w:hAnsi="Garamond"/>
        </w:rPr>
        <w:t>communication</w:t>
      </w:r>
      <w:r w:rsidRPr="00423356">
        <w:rPr>
          <w:rStyle w:val="Texteducorps"/>
          <w:rFonts w:ascii="Garamond" w:hAnsi="Garamond"/>
        </w:rPr>
        <w:t>, nous nous proposons d</w:t>
      </w:r>
      <w:r w:rsidR="000E50A9">
        <w:rPr>
          <w:rStyle w:val="Texteducorps"/>
          <w:rFonts w:ascii="Garamond" w:hAnsi="Garamond"/>
        </w:rPr>
        <w:t>’</w:t>
      </w:r>
      <w:r w:rsidRPr="00423356">
        <w:rPr>
          <w:rStyle w:val="Texteducorps"/>
          <w:rFonts w:ascii="Garamond" w:hAnsi="Garamond"/>
        </w:rPr>
        <w:t xml:space="preserve">examiner la tendance croissante du pouvoir papal à contrôler les héritages ecclésiastiques entre le </w:t>
      </w:r>
      <w:proofErr w:type="spellStart"/>
      <w:r w:rsidR="000E50A9">
        <w:rPr>
          <w:rStyle w:val="Texteducorps"/>
          <w:rFonts w:ascii="Garamond" w:hAnsi="Garamond"/>
          <w:smallCaps/>
        </w:rPr>
        <w:t>xii</w:t>
      </w:r>
      <w:r w:rsidRPr="000E50A9">
        <w:rPr>
          <w:rStyle w:val="Texteducorps"/>
          <w:rFonts w:ascii="Garamond" w:hAnsi="Garamond"/>
          <w:vertAlign w:val="superscript"/>
        </w:rPr>
        <w:t>e</w:t>
      </w:r>
      <w:proofErr w:type="spellEnd"/>
      <w:r w:rsidRPr="00423356">
        <w:rPr>
          <w:rStyle w:val="Texteducorps"/>
          <w:rFonts w:ascii="Garamond" w:hAnsi="Garamond"/>
        </w:rPr>
        <w:t xml:space="preserve"> et le </w:t>
      </w:r>
      <w:proofErr w:type="spellStart"/>
      <w:r w:rsidR="000E50A9">
        <w:rPr>
          <w:rStyle w:val="Texteducorps"/>
          <w:rFonts w:ascii="Garamond" w:hAnsi="Garamond"/>
          <w:smallCaps/>
        </w:rPr>
        <w:t>xv</w:t>
      </w:r>
      <w:r w:rsidR="000E50A9" w:rsidRPr="000E50A9">
        <w:rPr>
          <w:rStyle w:val="Texteducorps"/>
          <w:rFonts w:ascii="Garamond" w:hAnsi="Garamond"/>
          <w:vertAlign w:val="superscript"/>
        </w:rPr>
        <w:t>e</w:t>
      </w:r>
      <w:proofErr w:type="spellEnd"/>
      <w:r w:rsidR="000E50A9">
        <w:rPr>
          <w:rStyle w:val="Texteducorps"/>
          <w:rFonts w:ascii="Garamond" w:hAnsi="Garamond"/>
        </w:rPr>
        <w:t> </w:t>
      </w:r>
      <w:r w:rsidRPr="00423356">
        <w:rPr>
          <w:rStyle w:val="Texteducorps"/>
          <w:rFonts w:ascii="Garamond" w:hAnsi="Garamond"/>
        </w:rPr>
        <w:t xml:space="preserve">siècle à travers les tentatives du cardinal Costa de contourner ces dispositions </w:t>
      </w:r>
      <w:r w:rsidR="0010696B">
        <w:rPr>
          <w:rStyle w:val="Texteducorps"/>
          <w:rFonts w:ascii="Garamond" w:hAnsi="Garamond"/>
        </w:rPr>
        <w:t>et d’</w:t>
      </w:r>
      <w:r w:rsidRPr="00423356">
        <w:rPr>
          <w:rStyle w:val="Texteducorps"/>
          <w:rFonts w:ascii="Garamond" w:hAnsi="Garamond"/>
        </w:rPr>
        <w:t>assur</w:t>
      </w:r>
      <w:r w:rsidR="0010696B">
        <w:rPr>
          <w:rStyle w:val="Texteducorps"/>
          <w:rFonts w:ascii="Garamond" w:hAnsi="Garamond"/>
        </w:rPr>
        <w:t>er</w:t>
      </w:r>
      <w:r w:rsidRPr="00423356">
        <w:rPr>
          <w:rStyle w:val="Texteducorps"/>
          <w:rFonts w:ascii="Garamond" w:hAnsi="Garamond"/>
        </w:rPr>
        <w:t xml:space="preserve"> la transmission de ses bénéfices et de ses biens aux membres de son entourage.</w:t>
      </w:r>
    </w:p>
    <w:p w14:paraId="5A0F2BEC" w14:textId="77777777" w:rsidR="00497DD1" w:rsidRDefault="00497DD1" w:rsidP="00497DD1">
      <w:pPr>
        <w:pStyle w:val="Texteducorps0"/>
        <w:spacing w:after="0" w:line="240" w:lineRule="auto"/>
        <w:ind w:firstLine="0"/>
        <w:jc w:val="both"/>
        <w:rPr>
          <w:rStyle w:val="Texteducorps"/>
          <w:rFonts w:ascii="Garamond" w:hAnsi="Garamond"/>
          <w:b/>
          <w:bCs/>
        </w:rPr>
      </w:pPr>
    </w:p>
    <w:p w14:paraId="0317DA9A" w14:textId="53938B5F" w:rsidR="00BD1E44" w:rsidRPr="000E50A9" w:rsidRDefault="002B4B60" w:rsidP="00497DD1">
      <w:pPr>
        <w:pStyle w:val="Texteducorps0"/>
        <w:spacing w:after="0" w:line="240" w:lineRule="auto"/>
        <w:ind w:firstLine="0"/>
        <w:jc w:val="both"/>
        <w:rPr>
          <w:rFonts w:ascii="Garamond" w:hAnsi="Garamond"/>
          <w:b/>
          <w:bCs/>
        </w:rPr>
      </w:pPr>
      <w:r w:rsidRPr="000E50A9">
        <w:rPr>
          <w:rStyle w:val="Texteducorps"/>
          <w:rFonts w:ascii="Garamond" w:hAnsi="Garamond"/>
          <w:b/>
          <w:bCs/>
        </w:rPr>
        <w:t xml:space="preserve">Francesco ZAMBONIN (IHMC), </w:t>
      </w:r>
      <w:r w:rsidRPr="000E50A9">
        <w:rPr>
          <w:rStyle w:val="Texteducorps"/>
          <w:rFonts w:ascii="Garamond" w:hAnsi="Garamond"/>
          <w:b/>
          <w:bCs/>
          <w:i/>
          <w:iCs/>
        </w:rPr>
        <w:t xml:space="preserve">Raisons du sang et raison d’État. Conflits successoraux dans la République de Venise entre le </w:t>
      </w:r>
      <w:proofErr w:type="spellStart"/>
      <w:r w:rsidR="000E50A9">
        <w:rPr>
          <w:rStyle w:val="Texteducorps"/>
          <w:rFonts w:ascii="Garamond" w:hAnsi="Garamond"/>
          <w:b/>
          <w:bCs/>
          <w:i/>
          <w:iCs/>
          <w:smallCaps/>
        </w:rPr>
        <w:t>xvii</w:t>
      </w:r>
      <w:r w:rsidR="000E50A9" w:rsidRPr="000E50A9">
        <w:rPr>
          <w:rStyle w:val="Texteducorps"/>
          <w:rFonts w:ascii="Garamond" w:hAnsi="Garamond"/>
          <w:b/>
          <w:bCs/>
          <w:i/>
          <w:iCs/>
          <w:vertAlign w:val="superscript"/>
        </w:rPr>
        <w:t>e</w:t>
      </w:r>
      <w:proofErr w:type="spellEnd"/>
      <w:r w:rsidRPr="000E50A9">
        <w:rPr>
          <w:rStyle w:val="Texteducorps"/>
          <w:rFonts w:ascii="Garamond" w:hAnsi="Garamond"/>
          <w:b/>
          <w:bCs/>
          <w:i/>
          <w:iCs/>
        </w:rPr>
        <w:t xml:space="preserve"> et le </w:t>
      </w:r>
      <w:proofErr w:type="spellStart"/>
      <w:r w:rsidR="000E50A9">
        <w:rPr>
          <w:rStyle w:val="Texteducorps"/>
          <w:rFonts w:ascii="Garamond" w:hAnsi="Garamond"/>
          <w:b/>
          <w:bCs/>
          <w:i/>
          <w:iCs/>
          <w:smallCaps/>
        </w:rPr>
        <w:t>xviii</w:t>
      </w:r>
      <w:r w:rsidR="000E50A9" w:rsidRPr="000E50A9">
        <w:rPr>
          <w:rStyle w:val="Texteducorps"/>
          <w:rFonts w:ascii="Garamond" w:hAnsi="Garamond"/>
          <w:b/>
          <w:bCs/>
          <w:i/>
          <w:iCs/>
          <w:vertAlign w:val="superscript"/>
        </w:rPr>
        <w:t>e</w:t>
      </w:r>
      <w:proofErr w:type="spellEnd"/>
      <w:r w:rsidR="000E50A9">
        <w:rPr>
          <w:rStyle w:val="Texteducorps"/>
          <w:rFonts w:ascii="Garamond" w:hAnsi="Garamond"/>
          <w:b/>
          <w:bCs/>
          <w:i/>
          <w:iCs/>
        </w:rPr>
        <w:t> </w:t>
      </w:r>
      <w:r w:rsidRPr="000E50A9">
        <w:rPr>
          <w:rStyle w:val="Texteducorps"/>
          <w:rFonts w:ascii="Garamond" w:hAnsi="Garamond"/>
          <w:b/>
          <w:bCs/>
          <w:i/>
          <w:iCs/>
        </w:rPr>
        <w:t>siècle</w:t>
      </w:r>
    </w:p>
    <w:p w14:paraId="35BFCE35" w14:textId="77777777" w:rsidR="00497DD1" w:rsidRDefault="00497DD1" w:rsidP="00497DD1">
      <w:pPr>
        <w:pStyle w:val="Texteducorps0"/>
        <w:spacing w:after="0" w:line="240" w:lineRule="auto"/>
        <w:ind w:firstLine="0"/>
        <w:jc w:val="both"/>
        <w:rPr>
          <w:rStyle w:val="Texteducorps"/>
          <w:rFonts w:ascii="Garamond" w:hAnsi="Garamond"/>
        </w:rPr>
      </w:pPr>
    </w:p>
    <w:p w14:paraId="250AADF3" w14:textId="3365E96F" w:rsidR="00497DD1" w:rsidRPr="00FB601E" w:rsidRDefault="002B4B60" w:rsidP="00FB601E">
      <w:pPr>
        <w:pStyle w:val="Texteducorps0"/>
        <w:spacing w:after="0" w:line="240" w:lineRule="auto"/>
        <w:ind w:left="567" w:firstLine="0"/>
        <w:jc w:val="both"/>
        <w:rPr>
          <w:rStyle w:val="Texteducorps"/>
          <w:rFonts w:ascii="Garamond" w:hAnsi="Garamond"/>
        </w:rPr>
      </w:pPr>
      <w:r w:rsidRPr="00423356">
        <w:rPr>
          <w:rStyle w:val="Texteducorps"/>
          <w:rFonts w:ascii="Garamond" w:hAnsi="Garamond"/>
        </w:rPr>
        <w:t>Les conflits successoraux déchirent la société vénitienne au cours des derniers siècles de la République, si bien que les tribunaux de la capitale semblent se spécialiser dans les affaires autour des héritages. La cour de l</w:t>
      </w:r>
      <w:r w:rsidR="000E50A9">
        <w:rPr>
          <w:rStyle w:val="Texteducorps"/>
          <w:rFonts w:ascii="Garamond" w:hAnsi="Garamond"/>
        </w:rPr>
        <w:t>’</w:t>
      </w:r>
      <w:proofErr w:type="spellStart"/>
      <w:r w:rsidRPr="00423356">
        <w:rPr>
          <w:rStyle w:val="Texteducorps"/>
          <w:rFonts w:ascii="Garamond" w:hAnsi="Garamond"/>
        </w:rPr>
        <w:t>Avogaria</w:t>
      </w:r>
      <w:proofErr w:type="spellEnd"/>
      <w:r w:rsidRPr="00423356">
        <w:rPr>
          <w:rStyle w:val="Texteducorps"/>
          <w:rFonts w:ascii="Garamond" w:hAnsi="Garamond"/>
        </w:rPr>
        <w:t xml:space="preserve">, chargée de juger le faux, engage une procédure hybride qui, entre le civil et le criminel, permet de punir avec prudence des crimes aussi graves que les subornations et les falsifications des testaments. </w:t>
      </w:r>
      <w:r w:rsidR="00E80527">
        <w:rPr>
          <w:rStyle w:val="Texteducorps"/>
          <w:rFonts w:ascii="Garamond" w:hAnsi="Garamond"/>
        </w:rPr>
        <w:t>C</w:t>
      </w:r>
      <w:r w:rsidRPr="00423356">
        <w:rPr>
          <w:rStyle w:val="Texteducorps"/>
          <w:rFonts w:ascii="Garamond" w:hAnsi="Garamond"/>
        </w:rPr>
        <w:t>es procès mixtes garantissent la tutelle des coutumes locales, dans un contexte de pluralisme juridique où abondent les manières de léguer</w:t>
      </w:r>
      <w:r w:rsidR="00E80527">
        <w:rPr>
          <w:rStyle w:val="Texteducorps"/>
          <w:rFonts w:ascii="Garamond" w:hAnsi="Garamond"/>
        </w:rPr>
        <w:t>,</w:t>
      </w:r>
      <w:r w:rsidRPr="00423356">
        <w:rPr>
          <w:rStyle w:val="Texteducorps"/>
          <w:rFonts w:ascii="Garamond" w:hAnsi="Garamond"/>
        </w:rPr>
        <w:t xml:space="preserve"> la protection des vieux et des malades contre les captations d’héritages du clergé</w:t>
      </w:r>
      <w:r w:rsidR="00E80527">
        <w:rPr>
          <w:rStyle w:val="Texteducorps"/>
          <w:rFonts w:ascii="Garamond" w:hAnsi="Garamond"/>
        </w:rPr>
        <w:t xml:space="preserve"> et</w:t>
      </w:r>
      <w:r w:rsidRPr="00423356">
        <w:rPr>
          <w:rStyle w:val="Texteducorps"/>
          <w:rFonts w:ascii="Garamond" w:hAnsi="Garamond"/>
        </w:rPr>
        <w:t xml:space="preserve"> l’indépendance des femmes face aux pressions des hommes. En attisant les plaintes des justiciables, les juges peuvent ainsi intervenir dans les différends familiaux qui, loin d</w:t>
      </w:r>
      <w:r w:rsidR="000E50A9">
        <w:rPr>
          <w:rStyle w:val="Texteducorps"/>
          <w:rFonts w:ascii="Garamond" w:hAnsi="Garamond"/>
        </w:rPr>
        <w:t>’</w:t>
      </w:r>
      <w:r w:rsidRPr="00423356">
        <w:rPr>
          <w:rStyle w:val="Texteducorps"/>
          <w:rFonts w:ascii="Garamond" w:hAnsi="Garamond"/>
        </w:rPr>
        <w:t>être des questions privées, acquièrent une dimension publique, voire politique, car le patrimoine donne accès à la noblesse et donc aux charges gouvernementales. Les intérêts de l</w:t>
      </w:r>
      <w:r w:rsidR="000E50A9">
        <w:rPr>
          <w:rStyle w:val="Texteducorps"/>
          <w:rFonts w:ascii="Garamond" w:hAnsi="Garamond"/>
        </w:rPr>
        <w:t>’</w:t>
      </w:r>
      <w:r w:rsidRPr="00423356">
        <w:rPr>
          <w:rStyle w:val="Texteducorps"/>
          <w:rFonts w:ascii="Garamond" w:hAnsi="Garamond"/>
        </w:rPr>
        <w:t>État sont dès lors poursuivis satisfaisant les demandes des justiciables</w:t>
      </w:r>
      <w:r w:rsidR="00E80527">
        <w:rPr>
          <w:rStyle w:val="Texteducorps"/>
          <w:rFonts w:ascii="Garamond" w:hAnsi="Garamond"/>
        </w:rPr>
        <w:t>,</w:t>
      </w:r>
      <w:r w:rsidRPr="00423356">
        <w:rPr>
          <w:rStyle w:val="Texteducorps"/>
          <w:rFonts w:ascii="Garamond" w:hAnsi="Garamond"/>
        </w:rPr>
        <w:t xml:space="preserve"> comme </w:t>
      </w:r>
      <w:r w:rsidR="00E80527">
        <w:rPr>
          <w:rStyle w:val="Texteducorps"/>
          <w:rFonts w:ascii="Garamond" w:hAnsi="Garamond"/>
        </w:rPr>
        <w:t>en</w:t>
      </w:r>
      <w:r w:rsidRPr="00423356">
        <w:rPr>
          <w:rStyle w:val="Texteducorps"/>
          <w:rFonts w:ascii="Garamond" w:hAnsi="Garamond"/>
        </w:rPr>
        <w:t xml:space="preserve"> témoignent les centaines de dossiers judiciaires allant du début du </w:t>
      </w:r>
      <w:proofErr w:type="spellStart"/>
      <w:r w:rsidR="00FB601E">
        <w:rPr>
          <w:rStyle w:val="Texteducorps"/>
          <w:rFonts w:ascii="Garamond" w:hAnsi="Garamond"/>
          <w:smallCaps/>
        </w:rPr>
        <w:t>xvii</w:t>
      </w:r>
      <w:r w:rsidR="00FB601E" w:rsidRPr="00FB601E">
        <w:rPr>
          <w:rStyle w:val="Texteducorps"/>
          <w:rFonts w:ascii="Garamond" w:hAnsi="Garamond"/>
          <w:vertAlign w:val="superscript"/>
        </w:rPr>
        <w:t>e</w:t>
      </w:r>
      <w:proofErr w:type="spellEnd"/>
      <w:r w:rsidRPr="00423356">
        <w:rPr>
          <w:rStyle w:val="Texteducorps"/>
          <w:rFonts w:ascii="Garamond" w:hAnsi="Garamond"/>
        </w:rPr>
        <w:t xml:space="preserve"> à la fin </w:t>
      </w:r>
      <w:proofErr w:type="spellStart"/>
      <w:r w:rsidR="00FB601E">
        <w:rPr>
          <w:rStyle w:val="Texteducorps"/>
          <w:rFonts w:ascii="Garamond" w:hAnsi="Garamond"/>
          <w:smallCaps/>
        </w:rPr>
        <w:t>xviii</w:t>
      </w:r>
      <w:r w:rsidR="00FB601E" w:rsidRPr="00FB601E">
        <w:rPr>
          <w:rStyle w:val="Texteducorps"/>
          <w:rFonts w:ascii="Garamond" w:hAnsi="Garamond"/>
          <w:vertAlign w:val="superscript"/>
        </w:rPr>
        <w:t>e</w:t>
      </w:r>
      <w:proofErr w:type="spellEnd"/>
      <w:r w:rsidR="00FB601E">
        <w:rPr>
          <w:rStyle w:val="Texteducorps"/>
          <w:rFonts w:ascii="Garamond" w:hAnsi="Garamond"/>
        </w:rPr>
        <w:t> </w:t>
      </w:r>
      <w:r w:rsidRPr="00423356">
        <w:rPr>
          <w:rStyle w:val="Texteducorps"/>
          <w:rFonts w:ascii="Garamond" w:hAnsi="Garamond"/>
        </w:rPr>
        <w:t xml:space="preserve">siècle, </w:t>
      </w:r>
      <w:r w:rsidR="00E80527">
        <w:rPr>
          <w:rStyle w:val="Texteducorps"/>
          <w:rFonts w:ascii="Garamond" w:hAnsi="Garamond"/>
        </w:rPr>
        <w:t xml:space="preserve">lesquels </w:t>
      </w:r>
      <w:r w:rsidRPr="00423356">
        <w:rPr>
          <w:rStyle w:val="Texteducorps"/>
          <w:rFonts w:ascii="Garamond" w:hAnsi="Garamond"/>
        </w:rPr>
        <w:t>expliquent pourquoi la classe dominante, au lieu de réguler les dévolutions de manière plus stricte en amont, s’appuie sur une casuistique souple pour perpétuer son droit et reproduire son pouvoir.</w:t>
      </w:r>
    </w:p>
    <w:p w14:paraId="552CE4F3" w14:textId="77777777" w:rsidR="00497DD1" w:rsidRDefault="00497DD1" w:rsidP="00497DD1">
      <w:pPr>
        <w:pStyle w:val="Texteducorps0"/>
        <w:spacing w:after="0" w:line="240" w:lineRule="auto"/>
        <w:ind w:firstLine="0"/>
        <w:jc w:val="both"/>
        <w:rPr>
          <w:rStyle w:val="Texteducorps"/>
          <w:rFonts w:ascii="Garamond" w:hAnsi="Garamond"/>
          <w:b/>
          <w:bCs/>
        </w:rPr>
      </w:pPr>
    </w:p>
    <w:p w14:paraId="50CE8D5F" w14:textId="77777777" w:rsidR="00D37304" w:rsidRDefault="00D37304" w:rsidP="00497DD1">
      <w:pPr>
        <w:pStyle w:val="Texteducorps0"/>
        <w:spacing w:after="0" w:line="240" w:lineRule="auto"/>
        <w:ind w:firstLine="0"/>
        <w:jc w:val="both"/>
        <w:rPr>
          <w:rStyle w:val="Texteducorps"/>
          <w:rFonts w:ascii="Garamond" w:hAnsi="Garamond"/>
          <w:b/>
          <w:bCs/>
        </w:rPr>
      </w:pPr>
    </w:p>
    <w:p w14:paraId="76669500" w14:textId="168C5FAE" w:rsidR="00BD1E44" w:rsidRPr="000E50A9" w:rsidRDefault="00FB601E" w:rsidP="00497DD1">
      <w:pPr>
        <w:pStyle w:val="Texteducorps0"/>
        <w:spacing w:after="0" w:line="240" w:lineRule="auto"/>
        <w:ind w:firstLine="0"/>
        <w:jc w:val="both"/>
        <w:rPr>
          <w:rFonts w:ascii="Garamond" w:hAnsi="Garamond"/>
          <w:b/>
          <w:bCs/>
        </w:rPr>
      </w:pPr>
      <w:r>
        <w:rPr>
          <w:rStyle w:val="Texteducorps"/>
          <w:rFonts w:ascii="Garamond" w:hAnsi="Garamond"/>
          <w:b/>
          <w:bCs/>
        </w:rPr>
        <w:lastRenderedPageBreak/>
        <w:t>É</w:t>
      </w:r>
      <w:r w:rsidR="002B4B60" w:rsidRPr="000E50A9">
        <w:rPr>
          <w:rStyle w:val="Texteducorps"/>
          <w:rFonts w:ascii="Garamond" w:hAnsi="Garamond"/>
          <w:b/>
          <w:bCs/>
        </w:rPr>
        <w:t xml:space="preserve">lise PAYSANT (IHMC), </w:t>
      </w:r>
      <w:r w:rsidR="002B4B60" w:rsidRPr="000E50A9">
        <w:rPr>
          <w:rStyle w:val="Texteducorps"/>
          <w:rFonts w:ascii="Garamond" w:hAnsi="Garamond"/>
          <w:b/>
          <w:bCs/>
          <w:i/>
          <w:iCs/>
        </w:rPr>
        <w:t>Héritages musulmans, colonisation et forum shopping à Saint-Louis, Sénégal (1857-1911)</w:t>
      </w:r>
    </w:p>
    <w:p w14:paraId="07A89051" w14:textId="77777777" w:rsidR="00497DD1" w:rsidRDefault="00497DD1" w:rsidP="00497DD1">
      <w:pPr>
        <w:pStyle w:val="Texteducorps0"/>
        <w:spacing w:after="0" w:line="240" w:lineRule="auto"/>
        <w:ind w:firstLine="0"/>
        <w:jc w:val="both"/>
        <w:rPr>
          <w:rStyle w:val="Texteducorps"/>
          <w:rFonts w:ascii="Garamond" w:hAnsi="Garamond"/>
        </w:rPr>
      </w:pPr>
    </w:p>
    <w:p w14:paraId="586F1AE8" w14:textId="710E8F55" w:rsidR="00BD1E44" w:rsidRDefault="002B4B60" w:rsidP="00497DD1">
      <w:pPr>
        <w:pStyle w:val="Texteducorps0"/>
        <w:spacing w:after="0" w:line="240" w:lineRule="auto"/>
        <w:ind w:left="567" w:firstLine="0"/>
        <w:jc w:val="both"/>
        <w:rPr>
          <w:rStyle w:val="Texteducorps"/>
          <w:rFonts w:ascii="Garamond" w:hAnsi="Garamond"/>
        </w:rPr>
      </w:pPr>
      <w:r w:rsidRPr="00423356">
        <w:rPr>
          <w:rStyle w:val="Texteducorps"/>
          <w:rFonts w:ascii="Garamond" w:hAnsi="Garamond"/>
        </w:rPr>
        <w:t xml:space="preserve">Dans la seconde moitié du </w:t>
      </w:r>
      <w:bookmarkStart w:id="2" w:name="_Hlk157185782"/>
      <w:proofErr w:type="spellStart"/>
      <w:r w:rsidR="000E50A9">
        <w:rPr>
          <w:rStyle w:val="Texteducorps"/>
          <w:rFonts w:ascii="Garamond" w:hAnsi="Garamond"/>
          <w:smallCaps/>
        </w:rPr>
        <w:t>xix</w:t>
      </w:r>
      <w:r w:rsidRPr="00423356">
        <w:rPr>
          <w:rStyle w:val="Texteducorps"/>
          <w:rFonts w:ascii="Garamond" w:hAnsi="Garamond"/>
          <w:vertAlign w:val="superscript"/>
        </w:rPr>
        <w:t>e</w:t>
      </w:r>
      <w:proofErr w:type="spellEnd"/>
      <w:r w:rsidR="000E50A9">
        <w:rPr>
          <w:rStyle w:val="Texteducorps"/>
          <w:rFonts w:ascii="Garamond" w:hAnsi="Garamond"/>
        </w:rPr>
        <w:t> </w:t>
      </w:r>
      <w:bookmarkEnd w:id="2"/>
      <w:r w:rsidR="000E50A9">
        <w:rPr>
          <w:rStyle w:val="Texteducorps"/>
          <w:rFonts w:ascii="Garamond" w:hAnsi="Garamond"/>
        </w:rPr>
        <w:t>siècle</w:t>
      </w:r>
      <w:r w:rsidRPr="00423356">
        <w:rPr>
          <w:rStyle w:val="Texteducorps"/>
          <w:rFonts w:ascii="Garamond" w:hAnsi="Garamond"/>
        </w:rPr>
        <w:t xml:space="preserve">, à Saint-Louis (Sénégal), les justiciables musulmans font appel tantôt aux juridictions françaises tantôt au tribunal musulman pour obtenir leur dû dans des affaires successorales. De nombreux travaux ont montré que ces pratiques de </w:t>
      </w:r>
      <w:r w:rsidRPr="00423356">
        <w:rPr>
          <w:rStyle w:val="Texteducorps"/>
          <w:rFonts w:ascii="Garamond" w:hAnsi="Garamond"/>
          <w:i/>
          <w:iCs/>
        </w:rPr>
        <w:t>forum shopping</w:t>
      </w:r>
      <w:r w:rsidRPr="00423356">
        <w:rPr>
          <w:rStyle w:val="Texteducorps"/>
          <w:rFonts w:ascii="Garamond" w:hAnsi="Garamond"/>
        </w:rPr>
        <w:t xml:space="preserve"> par lesquelles les justiciables choisissent la juridiction leur offrant l’issue la plus favorable étaient généralisées dans les empires coloniaux. Pourtant, peu d’études se sont penchées sur les motivations qui guident les justiciables dans leur choix juridictionnel dans des contextes de pluralisme juridique. À partir du cas du règlement des successions dans la ville de Saint-Louis au </w:t>
      </w:r>
      <w:proofErr w:type="spellStart"/>
      <w:r w:rsidR="000E50A9">
        <w:rPr>
          <w:rStyle w:val="Texteducorps"/>
          <w:rFonts w:ascii="Garamond" w:hAnsi="Garamond"/>
          <w:smallCaps/>
        </w:rPr>
        <w:t>xix</w:t>
      </w:r>
      <w:r w:rsidR="000E50A9" w:rsidRPr="00423356">
        <w:rPr>
          <w:rStyle w:val="Texteducorps"/>
          <w:rFonts w:ascii="Garamond" w:hAnsi="Garamond"/>
          <w:vertAlign w:val="superscript"/>
        </w:rPr>
        <w:t>e</w:t>
      </w:r>
      <w:proofErr w:type="spellEnd"/>
      <w:r w:rsidR="000E50A9">
        <w:rPr>
          <w:rStyle w:val="Texteducorps"/>
          <w:rFonts w:ascii="Garamond" w:hAnsi="Garamond"/>
        </w:rPr>
        <w:t> </w:t>
      </w:r>
      <w:r w:rsidRPr="00423356">
        <w:rPr>
          <w:rStyle w:val="Texteducorps"/>
          <w:rFonts w:ascii="Garamond" w:hAnsi="Garamond"/>
        </w:rPr>
        <w:t>siècle, cet</w:t>
      </w:r>
      <w:r w:rsidR="001D2001">
        <w:rPr>
          <w:rStyle w:val="Texteducorps"/>
          <w:rFonts w:ascii="Garamond" w:hAnsi="Garamond"/>
        </w:rPr>
        <w:t>te communication</w:t>
      </w:r>
      <w:r w:rsidRPr="00423356">
        <w:rPr>
          <w:rStyle w:val="Texteducorps"/>
          <w:rFonts w:ascii="Garamond" w:hAnsi="Garamond"/>
        </w:rPr>
        <w:t xml:space="preserve"> cherche à combler cette lacune historiographique en étudiant les ressorts du </w:t>
      </w:r>
      <w:r w:rsidRPr="00423356">
        <w:rPr>
          <w:rStyle w:val="Texteducorps"/>
          <w:rFonts w:ascii="Garamond" w:hAnsi="Garamond"/>
          <w:i/>
          <w:iCs/>
        </w:rPr>
        <w:t>forum shopping</w:t>
      </w:r>
      <w:r w:rsidRPr="00423356">
        <w:rPr>
          <w:rStyle w:val="Texteducorps"/>
          <w:rFonts w:ascii="Garamond" w:hAnsi="Garamond"/>
        </w:rPr>
        <w:t xml:space="preserve"> dans une société musulmane en situation coloniale</w:t>
      </w:r>
      <w:r w:rsidRPr="001D2001">
        <w:rPr>
          <w:rStyle w:val="Texteducorps"/>
          <w:rFonts w:ascii="Garamond" w:hAnsi="Garamond"/>
        </w:rPr>
        <w:t xml:space="preserve">. </w:t>
      </w:r>
      <w:r w:rsidR="001D2001" w:rsidRPr="001D2001">
        <w:rPr>
          <w:rStyle w:val="Texteducorps"/>
          <w:rFonts w:ascii="Garamond" w:hAnsi="Garamond"/>
        </w:rPr>
        <w:t xml:space="preserve">Nous adopterons </w:t>
      </w:r>
      <w:r w:rsidRPr="001D2001">
        <w:rPr>
          <w:rStyle w:val="Texteducorps"/>
          <w:rFonts w:ascii="Garamond" w:hAnsi="Garamond"/>
        </w:rPr>
        <w:t>la perspective des justiciables pour saisir la diversité des institutions judiciaires et la manière dont différentes catégories de justiciables naviguent entre elles, en croisant les archives du tribunal musulman, du tribunal de première instance, du greffier-notaire et d’autres tribunaux français.</w:t>
      </w:r>
    </w:p>
    <w:p w14:paraId="2B4B6491" w14:textId="77777777" w:rsidR="00497DD1" w:rsidRDefault="00497DD1" w:rsidP="00497DD1">
      <w:pPr>
        <w:pStyle w:val="Texteducorps0"/>
        <w:spacing w:after="0" w:line="240" w:lineRule="auto"/>
        <w:ind w:firstLine="720"/>
        <w:jc w:val="both"/>
        <w:rPr>
          <w:rStyle w:val="Texteducorps"/>
          <w:rFonts w:ascii="Garamond" w:hAnsi="Garamond"/>
        </w:rPr>
      </w:pPr>
    </w:p>
    <w:p w14:paraId="579A7092" w14:textId="77777777" w:rsidR="00497DD1" w:rsidRDefault="00497DD1" w:rsidP="00497DD1">
      <w:pPr>
        <w:pStyle w:val="Texteducorps0"/>
        <w:spacing w:after="0" w:line="240" w:lineRule="auto"/>
        <w:ind w:firstLine="720"/>
        <w:jc w:val="both"/>
        <w:rPr>
          <w:rStyle w:val="Texteducorps"/>
          <w:rFonts w:ascii="Garamond" w:hAnsi="Garamond"/>
        </w:rPr>
      </w:pPr>
    </w:p>
    <w:p w14:paraId="7B402C92" w14:textId="0BCB14CD" w:rsidR="00497DD1" w:rsidRPr="00304CF3" w:rsidRDefault="00497DD1" w:rsidP="00497DD1">
      <w:pPr>
        <w:pStyle w:val="Texteducorps0"/>
        <w:spacing w:after="0" w:line="240" w:lineRule="auto"/>
        <w:ind w:firstLine="0"/>
        <w:jc w:val="both"/>
        <w:rPr>
          <w:rFonts w:ascii="Garamond" w:hAnsi="Garamond"/>
        </w:rPr>
      </w:pPr>
      <w:r w:rsidRPr="00304CF3">
        <w:rPr>
          <w:rFonts w:ascii="Garamond" w:hAnsi="Garamond"/>
          <w:b/>
          <w:bCs/>
        </w:rPr>
        <w:t xml:space="preserve">Conclusion d’Anna </w:t>
      </w:r>
      <w:r w:rsidRPr="00304CF3">
        <w:rPr>
          <w:rFonts w:ascii="Garamond" w:hAnsi="Garamond"/>
          <w:b/>
          <w:bCs/>
          <w:smallCaps/>
        </w:rPr>
        <w:t>Bellavitis</w:t>
      </w:r>
      <w:r w:rsidRPr="00304CF3">
        <w:rPr>
          <w:rFonts w:ascii="Garamond" w:hAnsi="Garamond"/>
        </w:rPr>
        <w:t>, p</w:t>
      </w:r>
      <w:r w:rsidRPr="00304CF3">
        <w:rPr>
          <w:rFonts w:ascii="Garamond" w:hAnsi="Garamond"/>
          <w:b/>
          <w:bCs/>
        </w:rPr>
        <w:t>rofesseure d’histoire</w:t>
      </w:r>
      <w:r w:rsidRPr="00304CF3">
        <w:rPr>
          <w:rFonts w:ascii="Garamond" w:hAnsi="Garamond"/>
        </w:rPr>
        <w:t xml:space="preserve"> </w:t>
      </w:r>
      <w:r w:rsidRPr="00304CF3">
        <w:rPr>
          <w:rFonts w:ascii="Garamond" w:hAnsi="Garamond"/>
          <w:b/>
          <w:bCs/>
        </w:rPr>
        <w:t>à l’université de Rouen</w:t>
      </w:r>
    </w:p>
    <w:sectPr w:rsidR="00497DD1" w:rsidRPr="00304CF3">
      <w:pgSz w:w="11900" w:h="16840"/>
      <w:pgMar w:top="1383" w:right="1378" w:bottom="1293" w:left="1372" w:header="955" w:footer="86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2626" w14:textId="77777777" w:rsidR="002B4B60" w:rsidRDefault="002B4B60">
      <w:r>
        <w:separator/>
      </w:r>
    </w:p>
  </w:endnote>
  <w:endnote w:type="continuationSeparator" w:id="0">
    <w:p w14:paraId="7BF36F9D" w14:textId="77777777" w:rsidR="002B4B60" w:rsidRDefault="002B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23C1" w14:textId="77777777" w:rsidR="00BD1E44" w:rsidRDefault="00BD1E44"/>
  </w:footnote>
  <w:footnote w:type="continuationSeparator" w:id="0">
    <w:p w14:paraId="006FFB70" w14:textId="77777777" w:rsidR="00BD1E44" w:rsidRDefault="00BD1E4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44"/>
    <w:rsid w:val="00062D87"/>
    <w:rsid w:val="000E50A9"/>
    <w:rsid w:val="0010696B"/>
    <w:rsid w:val="001D2001"/>
    <w:rsid w:val="002B4B60"/>
    <w:rsid w:val="00304CF3"/>
    <w:rsid w:val="003C741B"/>
    <w:rsid w:val="00423356"/>
    <w:rsid w:val="00497DD1"/>
    <w:rsid w:val="00532C97"/>
    <w:rsid w:val="00630037"/>
    <w:rsid w:val="00687DAE"/>
    <w:rsid w:val="00BD1E44"/>
    <w:rsid w:val="00D37304"/>
    <w:rsid w:val="00DD3485"/>
    <w:rsid w:val="00E80527"/>
    <w:rsid w:val="00F9247B"/>
    <w:rsid w:val="00FB601E"/>
    <w:rsid w:val="00FC0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3781"/>
  <w15:docId w15:val="{BCD14BF6-8AC3-473F-BDDA-955EE9C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sz w:val="28"/>
      <w:szCs w:val="28"/>
      <w:u w:val="none"/>
    </w:rPr>
  </w:style>
  <w:style w:type="paragraph" w:customStyle="1" w:styleId="Texteducorps0">
    <w:name w:val="Texte du corps"/>
    <w:basedOn w:val="Normal"/>
    <w:link w:val="Texteducorps"/>
    <w:pPr>
      <w:spacing w:after="280" w:line="276" w:lineRule="auto"/>
      <w:ind w:firstLine="400"/>
    </w:pPr>
    <w:rPr>
      <w:rFonts w:ascii="Times New Roman" w:eastAsia="Times New Roman" w:hAnsi="Times New Roman" w:cs="Times New Roman"/>
    </w:rPr>
  </w:style>
  <w:style w:type="paragraph" w:customStyle="1" w:styleId="Titre10">
    <w:name w:val="Titre #1"/>
    <w:basedOn w:val="Normal"/>
    <w:link w:val="Titre1"/>
    <w:pPr>
      <w:spacing w:after="340" w:line="276" w:lineRule="auto"/>
      <w:jc w:val="center"/>
      <w:outlineLvl w:val="0"/>
    </w:pPr>
    <w:rPr>
      <w:rFonts w:ascii="Times New Roman" w:eastAsia="Times New Roman" w:hAnsi="Times New Roman" w:cs="Times New Roman"/>
      <w:b/>
      <w:bCs/>
      <w:sz w:val="28"/>
      <w:szCs w:val="28"/>
    </w:rPr>
  </w:style>
  <w:style w:type="character" w:customStyle="1" w:styleId="Puces">
    <w:name w:val="Puces"/>
    <w:qFormat/>
    <w:rsid w:val="00423356"/>
    <w:rPr>
      <w:rFonts w:ascii="OpenSymbol" w:eastAsia="OpenSymbol" w:hAnsi="OpenSymbol" w:cs="OpenSymbol"/>
    </w:rPr>
  </w:style>
  <w:style w:type="paragraph" w:styleId="Corpsdetexte">
    <w:name w:val="Body Text"/>
    <w:basedOn w:val="Normal"/>
    <w:link w:val="CorpsdetexteCar"/>
    <w:rsid w:val="00423356"/>
    <w:pPr>
      <w:widowControl/>
      <w:spacing w:after="140" w:line="288" w:lineRule="auto"/>
    </w:pPr>
    <w:rPr>
      <w:rFonts w:ascii="Times New Roman" w:eastAsia="Arial Unicode MS" w:hAnsi="Times New Roman" w:cs="Arial Unicode MS"/>
      <w:color w:val="auto"/>
      <w:kern w:val="2"/>
      <w:sz w:val="22"/>
      <w:lang w:eastAsia="zh-CN" w:bidi="hi-IN"/>
    </w:rPr>
  </w:style>
  <w:style w:type="character" w:customStyle="1" w:styleId="CorpsdetexteCar">
    <w:name w:val="Corps de texte Car"/>
    <w:basedOn w:val="Policepardfaut"/>
    <w:link w:val="Corpsdetexte"/>
    <w:rsid w:val="00423356"/>
    <w:rPr>
      <w:rFonts w:ascii="Times New Roman" w:eastAsia="Arial Unicode MS" w:hAnsi="Times New Roman" w:cs="Arial Unicode MS"/>
      <w:kern w:val="2"/>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6849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Universite Paris 1 Pantheon Sorbonne</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 Rubello</dc:creator>
  <cp:lastModifiedBy>Noemi Rubello</cp:lastModifiedBy>
  <cp:revision>2</cp:revision>
  <dcterms:created xsi:type="dcterms:W3CDTF">2024-01-29T17:17:00Z</dcterms:created>
  <dcterms:modified xsi:type="dcterms:W3CDTF">2024-01-29T17:17:00Z</dcterms:modified>
</cp:coreProperties>
</file>